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2AE4E5" w14:textId="4B176775" w:rsidR="0005733A" w:rsidRDefault="0005733A" w:rsidP="0005733A">
      <w:pPr>
        <w:jc w:val="both"/>
      </w:pPr>
      <w:r>
        <w:t>Tájékoztatjuk Tisztelt Ügyfeleinket, hogy a Magyar Energetikai és Közmű-szabályozási Hivatal</w:t>
      </w:r>
      <w:r w:rsidR="00E92927">
        <w:t xml:space="preserve"> a </w:t>
      </w:r>
      <w:r w:rsidR="00E92927" w:rsidRPr="00E92927">
        <w:t>H2613 /2021</w:t>
      </w:r>
      <w:r w:rsidR="00E92927">
        <w:t xml:space="preserve"> számú határozatával </w:t>
      </w:r>
      <w:r>
        <w:t>jóváhagyta az E.ON Dél-dunántúli Gázhálózati Zrt. földgázelosztói engedélyes üzletszabályzatának módosítását, melynek változása érinti a Rendszerhasználati Szerződés Általános Szerződési Feltételei</w:t>
      </w:r>
      <w:r w:rsidR="00E92927">
        <w:t>nek</w:t>
      </w:r>
      <w:r w:rsidR="00E92927" w:rsidRPr="00E92927">
        <w:t xml:space="preserve"> 1. számú melléklet</w:t>
      </w:r>
      <w:r w:rsidR="00E92927">
        <w:t>ét, a</w:t>
      </w:r>
      <w:r w:rsidR="00E92927" w:rsidRPr="00E92927">
        <w:t xml:space="preserve"> Kockázatelemzési szabályzat</w:t>
      </w:r>
      <w:r w:rsidR="00E92927">
        <w:t>o</w:t>
      </w:r>
      <w:r w:rsidR="00E92927" w:rsidRPr="00E92927">
        <w:t>t</w:t>
      </w:r>
      <w:r>
        <w:t xml:space="preserve">. </w:t>
      </w:r>
    </w:p>
    <w:p w14:paraId="699C00E4" w14:textId="77777777" w:rsidR="0005733A" w:rsidRDefault="0005733A" w:rsidP="0005733A">
      <w:pPr>
        <w:jc w:val="both"/>
      </w:pPr>
    </w:p>
    <w:p w14:paraId="039F254D" w14:textId="56AF2CF1" w:rsidR="00E92927" w:rsidRDefault="0005733A" w:rsidP="00E92927">
      <w:pPr>
        <w:jc w:val="both"/>
      </w:pPr>
      <w:r>
        <w:t>A rendszerhasználati szerződés ÁSZF-</w:t>
      </w:r>
      <w:proofErr w:type="spellStart"/>
      <w:r>
        <w:t>jének</w:t>
      </w:r>
      <w:proofErr w:type="spellEnd"/>
      <w:r>
        <w:t xml:space="preserve"> változásai</w:t>
      </w:r>
      <w:r w:rsidR="00E92927">
        <w:t>:</w:t>
      </w:r>
    </w:p>
    <w:p w14:paraId="7DF73B2B" w14:textId="77777777" w:rsidR="00E92927" w:rsidRDefault="00E92927" w:rsidP="00E92927">
      <w:pPr>
        <w:jc w:val="both"/>
      </w:pPr>
    </w:p>
    <w:p w14:paraId="475588E6" w14:textId="77777777" w:rsidR="00E92927" w:rsidRDefault="00E92927" w:rsidP="00E92927">
      <w:pPr>
        <w:jc w:val="both"/>
      </w:pPr>
    </w:p>
    <w:p w14:paraId="1AB67B26" w14:textId="20890D60" w:rsidR="00E92927" w:rsidRPr="00E92927" w:rsidRDefault="00E92927" w:rsidP="00E92927">
      <w:pPr>
        <w:jc w:val="both"/>
        <w:rPr>
          <w:rFonts w:ascii="Times New Roman" w:eastAsia="Times New Roman" w:hAnsi="Times New Roman" w:cs="Times New Roman"/>
          <w:b/>
          <w:sz w:val="24"/>
          <w:szCs w:val="20"/>
          <w:lang w:eastAsia="hu-HU"/>
        </w:rPr>
      </w:pPr>
      <w:r>
        <w:t>1.</w:t>
      </w:r>
      <w:r w:rsidRPr="00E92927">
        <w:rPr>
          <w:rFonts w:ascii="Times New Roman" w:eastAsia="Times New Roman" w:hAnsi="Times New Roman" w:cs="Times New Roman"/>
          <w:b/>
          <w:sz w:val="24"/>
          <w:szCs w:val="20"/>
          <w:lang w:eastAsia="hu-HU"/>
        </w:rPr>
        <w:t>számú melléklet: Kockázatelemzési szabályzat</w:t>
      </w:r>
    </w:p>
    <w:p w14:paraId="659F2909" w14:textId="77777777" w:rsidR="00E92927" w:rsidRPr="00E92927" w:rsidRDefault="00E92927" w:rsidP="00E92927">
      <w:pPr>
        <w:overflowPunct w:val="0"/>
        <w:autoSpaceDE w:val="0"/>
        <w:autoSpaceDN w:val="0"/>
        <w:adjustRightInd w:val="0"/>
        <w:textAlignment w:val="baseline"/>
        <w:rPr>
          <w:rFonts w:ascii="Times New Roman" w:eastAsia="Times New Roman" w:hAnsi="Times New Roman" w:cs="Times New Roman"/>
          <w:sz w:val="24"/>
          <w:szCs w:val="20"/>
          <w:lang w:eastAsia="hu-HU"/>
        </w:rPr>
      </w:pPr>
    </w:p>
    <w:p w14:paraId="25F61C02"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 xml:space="preserve">Jelen szabályozás („Szabályzat”) célja, hogy az E.ON Dél-dunántúli Gázhálózati Zrt., mint földgázelosztói engedélyes („Elosztó”) és a Rendszerhasználó, vagy speciális esetekben az Elosztó és a Rendszerhasználóként eljáró felhasználó közötti rendszerhasználati szerződésekhez tartozó szerződéses biztosítékok mértékét és formáját egységes keretek között szabályozza. Kiemelt cél továbbá a jogszabályi megfelelőség és a Társaság partnerei által is átlátható, diszkriminációmentes folyamat kialakítása. A leírt folyamat által a Társaság biztosítja, hogy a szerződéses biztosíték mértéke és formája megfeleljen az adott Rendszerhasználó jelenlegi pénzügyi helyzetének, és az Elosztó pénzügyi kockázata is minimálisra csökkenjen. </w:t>
      </w:r>
    </w:p>
    <w:p w14:paraId="6D9D351E"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 xml:space="preserve"> </w:t>
      </w:r>
    </w:p>
    <w:p w14:paraId="430BA92C"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Jelen Szabályzat azt a folyamatot írja le, amelynek során az Elosztóval rendszerhasználati szerződéses jogviszonyba kerülő Rendszerhasználó, illetve saját fogyasztása mértékéig a rendszerhasználati szerződés feltételeinek teljesítésére képes, egyben földgáz-kereskedelmi és elosztóhálózat-használati szerződéssel rendelkező, vagy a földgázt földgáz-kereskedelmi szerződés nélkül, egyéb módon beszerző, de elosztóhálózat-használati szerződéssel rendelkező Rendszerhasználóként eljáró felhasználó (= saját jogon eljáró felhasználó), földgázkereskedő által ellátott, de az Elosztóval egyedi tartalmú elosztóhálózat-használati szerződést (melyben a rendszerhasználati díjak megfizetését az Elosztó részére közvetlenül vállalja a felhasználó) kötő felhasználó, illetve a földgázelosztó-hálózatba földgázt betápláló földgáztermelő (továbbiakban egységesen: „Rendszerhasználó”) pénzügyi helyzete megítélésre kerül.</w:t>
      </w:r>
    </w:p>
    <w:p w14:paraId="3165DEC4" w14:textId="77777777" w:rsidR="00E92927" w:rsidRPr="00E92927" w:rsidRDefault="00E92927" w:rsidP="00E92927">
      <w:pPr>
        <w:overflowPunct w:val="0"/>
        <w:autoSpaceDE w:val="0"/>
        <w:autoSpaceDN w:val="0"/>
        <w:adjustRightInd w:val="0"/>
        <w:textAlignment w:val="baseline"/>
        <w:rPr>
          <w:rFonts w:ascii="Times New Roman" w:eastAsia="Times New Roman" w:hAnsi="Times New Roman" w:cs="Times New Roman"/>
          <w:lang w:eastAsia="hu-HU"/>
        </w:rPr>
      </w:pPr>
    </w:p>
    <w:p w14:paraId="2C1FE09E"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Amennyiben a Rendszerhasználó az általa ellátott felhasználók rendszerhasználati díjainak megfizetését - egészben, vagy részben, jogszabályi rendelkezés miatt, vagy egyébként - vállalta, akkor ezeket köteles közvetlenül az Elosztónak megfizetni a rendszerhasználati díjak megfizetésének szabályaira vonatkozó mindenkor hatályos jogszabályok, valamint a Hivatal vonatkozó határozata(i) szerint.</w:t>
      </w:r>
    </w:p>
    <w:p w14:paraId="5DF8D7F3"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p>
    <w:p w14:paraId="2E817B37"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A Rendszerhasználó által ellátott felhasználók Rendszerhasználó felé történő késedelmes vagy nem fizetése semmilyen módon nem érintik a Rendszerhasználó azon kötelezettségét, hogy az Elosztó által a részére kiállított számlát határidőben teljesítse.</w:t>
      </w:r>
    </w:p>
    <w:p w14:paraId="3860C313" w14:textId="77777777" w:rsidR="00E92927" w:rsidRPr="00E92927" w:rsidRDefault="00E92927" w:rsidP="00E92927">
      <w:pPr>
        <w:overflowPunct w:val="0"/>
        <w:autoSpaceDE w:val="0"/>
        <w:autoSpaceDN w:val="0"/>
        <w:adjustRightInd w:val="0"/>
        <w:spacing w:before="120"/>
        <w:jc w:val="both"/>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A földgáztermelővel kötött rendszerhasználati szerződés esetében az Elosztó biztosítja a földgáztermelő általi betápláláshoz szükséges, a betáplálási-kiadási ponton a földgáztermelő által lekötött kapacitást, melynek rendszerhasználati díját a földgáztermelő Rendszerhasználó köteles megfizetni az Elosztó részére.</w:t>
      </w:r>
    </w:p>
    <w:p w14:paraId="73287E6D"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p>
    <w:p w14:paraId="73870338" w14:textId="77777777" w:rsidR="00E92927" w:rsidRPr="00E92927" w:rsidRDefault="00E92927" w:rsidP="00E92927">
      <w:pPr>
        <w:keepNext/>
        <w:numPr>
          <w:ilvl w:val="0"/>
          <w:numId w:val="4"/>
        </w:numPr>
        <w:overflowPunct w:val="0"/>
        <w:autoSpaceDE w:val="0"/>
        <w:autoSpaceDN w:val="0"/>
        <w:adjustRightInd w:val="0"/>
        <w:ind w:left="567" w:hanging="567"/>
        <w:jc w:val="both"/>
        <w:textAlignment w:val="baseline"/>
        <w:outlineLvl w:val="0"/>
        <w:rPr>
          <w:rFonts w:ascii="Times New Roman" w:eastAsia="Times New Roman" w:hAnsi="Times New Roman" w:cs="Times New Roman"/>
          <w:b/>
          <w:bCs/>
          <w:kern w:val="32"/>
          <w:lang w:eastAsia="hu-HU"/>
        </w:rPr>
      </w:pPr>
      <w:r w:rsidRPr="00E92927">
        <w:rPr>
          <w:rFonts w:ascii="Times New Roman" w:eastAsia="Times New Roman" w:hAnsi="Times New Roman" w:cs="Times New Roman"/>
          <w:b/>
          <w:bCs/>
          <w:kern w:val="32"/>
          <w:lang w:eastAsia="hu-HU"/>
        </w:rPr>
        <w:t>Fogalmak, rövidítések</w:t>
      </w:r>
    </w:p>
    <w:p w14:paraId="1D9383A4" w14:textId="77777777" w:rsidR="00E92927" w:rsidRPr="00E92927" w:rsidRDefault="00E92927" w:rsidP="00E92927">
      <w:pPr>
        <w:overflowPunct w:val="0"/>
        <w:autoSpaceDE w:val="0"/>
        <w:autoSpaceDN w:val="0"/>
        <w:adjustRightInd w:val="0"/>
        <w:spacing w:line="360" w:lineRule="auto"/>
        <w:jc w:val="both"/>
        <w:textAlignment w:val="baseline"/>
        <w:rPr>
          <w:rFonts w:ascii="Times New Roman" w:eastAsia="Times New Roman" w:hAnsi="Times New Roman" w:cs="Times New Roman"/>
          <w:lang w:eastAsia="hu-HU"/>
        </w:rPr>
      </w:pPr>
    </w:p>
    <w:p w14:paraId="3F2DEDA4" w14:textId="77777777" w:rsidR="00E92927" w:rsidRPr="00E92927" w:rsidRDefault="00E92927" w:rsidP="00E92927">
      <w:pPr>
        <w:overflowPunct w:val="0"/>
        <w:autoSpaceDE w:val="0"/>
        <w:autoSpaceDN w:val="0"/>
        <w:adjustRightInd w:val="0"/>
        <w:spacing w:line="360" w:lineRule="auto"/>
        <w:jc w:val="both"/>
        <w:textAlignment w:val="baseline"/>
        <w:rPr>
          <w:rFonts w:ascii="Times New Roman" w:eastAsia="Times New Roman" w:hAnsi="Times New Roman" w:cs="Times New Roman"/>
          <w:lang w:eastAsia="hu-HU"/>
        </w:rPr>
      </w:pPr>
      <w:bookmarkStart w:id="0" w:name="_Hlk70506919"/>
      <w:r w:rsidRPr="00E92927">
        <w:rPr>
          <w:rFonts w:ascii="Times New Roman" w:eastAsia="Times New Roman" w:hAnsi="Times New Roman" w:cs="Times New Roman"/>
          <w:b/>
          <w:bCs/>
          <w:lang w:eastAsia="hu-HU"/>
        </w:rPr>
        <w:t>GET:</w:t>
      </w:r>
      <w:r w:rsidRPr="00E92927">
        <w:rPr>
          <w:rFonts w:ascii="Times New Roman" w:eastAsia="Times New Roman" w:hAnsi="Times New Roman" w:cs="Times New Roman"/>
          <w:lang w:eastAsia="hu-HU"/>
        </w:rPr>
        <w:t xml:space="preserve"> A földgázellátásról szóló 2008. évi XL. törvény</w:t>
      </w:r>
    </w:p>
    <w:p w14:paraId="600275DB"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b/>
          <w:bCs/>
          <w:lang w:eastAsia="hu-HU"/>
        </w:rPr>
        <w:t>VHR:</w:t>
      </w:r>
      <w:r w:rsidRPr="00E92927">
        <w:rPr>
          <w:rFonts w:ascii="Times New Roman" w:eastAsia="Times New Roman" w:hAnsi="Times New Roman" w:cs="Times New Roman"/>
          <w:lang w:eastAsia="hu-HU"/>
        </w:rPr>
        <w:t xml:space="preserve"> a földgázellátásról szóló 2008. évi XL. törvény rendelkezéseinek végrehajtásáról szóló 19/2009. (I. 30.) Korm. rendelet</w:t>
      </w:r>
    </w:p>
    <w:bookmarkEnd w:id="0"/>
    <w:p w14:paraId="5970451F"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p>
    <w:p w14:paraId="4318AC0D"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b/>
          <w:bCs/>
          <w:lang w:eastAsia="hu-HU"/>
        </w:rPr>
        <w:t>Rendszerhasználó:</w:t>
      </w:r>
      <w:r w:rsidRPr="00E92927">
        <w:rPr>
          <w:rFonts w:ascii="Times New Roman" w:eastAsia="Times New Roman" w:hAnsi="Times New Roman" w:cs="Times New Roman"/>
          <w:lang w:eastAsia="hu-HU"/>
        </w:rPr>
        <w:t xml:space="preserve"> az a felhasználó, földgáztermelő, földgázkereskedő – beleértve a korlátozott földgáz-kereskedelmi engedélyest és az egyetemes szolgáltatót is –, illetve rendszerüzemeltető, beleértve a határkeresztező gázvezetéken földgázt átszállító külföldi székhelyű szállítási </w:t>
      </w:r>
      <w:r w:rsidRPr="00E92927">
        <w:rPr>
          <w:rFonts w:ascii="Times New Roman" w:eastAsia="Times New Roman" w:hAnsi="Times New Roman" w:cs="Times New Roman"/>
          <w:lang w:eastAsia="hu-HU"/>
        </w:rPr>
        <w:lastRenderedPageBreak/>
        <w:t>rendszerüzemeltetőt is - aki rendszerhasználati szerződés alapján a földgázrendszer kapacitását leköti, vagy azt földgáz betáplálására vagy vételezésére igénybe veszi. (GET 3 § 51a.)</w:t>
      </w:r>
    </w:p>
    <w:p w14:paraId="248D36E1"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p>
    <w:p w14:paraId="587F2C81"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b/>
          <w:bCs/>
          <w:lang w:eastAsia="hu-HU"/>
        </w:rPr>
        <w:t>Ügyfél portfolió:</w:t>
      </w:r>
      <w:r w:rsidRPr="00E92927">
        <w:rPr>
          <w:rFonts w:ascii="Times New Roman" w:eastAsia="Times New Roman" w:hAnsi="Times New Roman" w:cs="Times New Roman"/>
          <w:lang w:eastAsia="hu-HU"/>
        </w:rPr>
        <w:t xml:space="preserve"> A Rendszerhasználó (földgázkereskedő) által ellátott felhasználók köre, amelyek kapacitás-lekötése vonatkozásában a szerződéses biztosíték megállapításra kerül. </w:t>
      </w:r>
    </w:p>
    <w:p w14:paraId="21DB37BE"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p>
    <w:p w14:paraId="71F6368F"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b/>
          <w:bCs/>
          <w:lang w:eastAsia="hu-HU"/>
        </w:rPr>
        <w:t xml:space="preserve">Céginformációs szolgáltató: </w:t>
      </w:r>
      <w:r w:rsidRPr="00E92927">
        <w:rPr>
          <w:rFonts w:ascii="Times New Roman" w:eastAsia="Times New Roman" w:hAnsi="Times New Roman" w:cs="Times New Roman"/>
          <w:lang w:eastAsia="hu-HU"/>
        </w:rPr>
        <w:t>Olyan szolgáltató, aki több, hiteles forrásból származó adatok és a minősítendő cégre vonatkozó pénzügyi információk (úgymint mérleg adatok, eredmény kimutatás) felhasználásával a Rendszerhasználó minősítését elvégzi.</w:t>
      </w:r>
    </w:p>
    <w:p w14:paraId="0D97F12E"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p>
    <w:p w14:paraId="190C347A" w14:textId="77777777" w:rsidR="00E92927" w:rsidRPr="00E92927" w:rsidRDefault="00E92927" w:rsidP="00E92927">
      <w:pPr>
        <w:keepNext/>
        <w:numPr>
          <w:ilvl w:val="0"/>
          <w:numId w:val="2"/>
        </w:numPr>
        <w:overflowPunct w:val="0"/>
        <w:autoSpaceDE w:val="0"/>
        <w:autoSpaceDN w:val="0"/>
        <w:adjustRightInd w:val="0"/>
        <w:ind w:left="567" w:hanging="567"/>
        <w:jc w:val="both"/>
        <w:textAlignment w:val="baseline"/>
        <w:outlineLvl w:val="0"/>
        <w:rPr>
          <w:rFonts w:ascii="Times New Roman" w:eastAsia="Times New Roman" w:hAnsi="Times New Roman" w:cs="Times New Roman"/>
          <w:b/>
          <w:bCs/>
          <w:kern w:val="32"/>
          <w:lang w:eastAsia="hu-HU"/>
        </w:rPr>
      </w:pPr>
      <w:r w:rsidRPr="00E92927">
        <w:rPr>
          <w:rFonts w:ascii="Times New Roman" w:eastAsia="Times New Roman" w:hAnsi="Times New Roman" w:cs="Times New Roman"/>
          <w:b/>
          <w:bCs/>
          <w:kern w:val="32"/>
          <w:lang w:eastAsia="hu-HU"/>
        </w:rPr>
        <w:t>A Szabályzat hatálya</w:t>
      </w:r>
    </w:p>
    <w:p w14:paraId="0445D9BB" w14:textId="77777777" w:rsidR="00E92927" w:rsidRPr="00E92927" w:rsidRDefault="00E92927" w:rsidP="00E92927">
      <w:pPr>
        <w:autoSpaceDE w:val="0"/>
        <w:autoSpaceDN w:val="0"/>
        <w:jc w:val="both"/>
        <w:rPr>
          <w:rFonts w:ascii="Times New Roman" w:eastAsia="Times New Roman" w:hAnsi="Times New Roman" w:cs="Times New Roman"/>
          <w:lang w:eastAsia="hu-HU"/>
        </w:rPr>
      </w:pPr>
    </w:p>
    <w:p w14:paraId="06BE9143" w14:textId="77777777" w:rsidR="00E92927" w:rsidRPr="00E92927" w:rsidRDefault="00E92927" w:rsidP="00E92927">
      <w:pPr>
        <w:autoSpaceDE w:val="0"/>
        <w:autoSpaceDN w:val="0"/>
        <w:spacing w:after="80"/>
        <w:jc w:val="both"/>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A Szabályzat előírásai vonatkoznak mindazon üzleti tevékenységekre, amelyeket az Elosztó a vele kötendő / kötött rendszerhasználati (korábbi nevén földgázelosztási/kapacitáslekötési) szerződés alapján a Rendszerhasználóval alakít ki, és amely során az Elosztó egyedi vagy rendszeres jelleggel pénzügyi követelésre jogosult, különös tekintettel az alábbiakra:</w:t>
      </w:r>
    </w:p>
    <w:p w14:paraId="57D75EE7" w14:textId="77777777" w:rsidR="00E92927" w:rsidRPr="00E92927" w:rsidRDefault="00E92927" w:rsidP="00E92927">
      <w:pPr>
        <w:numPr>
          <w:ilvl w:val="0"/>
          <w:numId w:val="3"/>
        </w:numPr>
        <w:overflowPunct w:val="0"/>
        <w:autoSpaceDE w:val="0"/>
        <w:autoSpaceDN w:val="0"/>
        <w:adjustRightInd w:val="0"/>
        <w:spacing w:after="80"/>
        <w:jc w:val="both"/>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a Rendszerhasználó által fizetett rendszerhasználati díj és egyéb fizetési kötelezettségek (kamatok, kötbér, pótdíj stb., továbbiakban egységesen: „rendszerhasználati díjak”) számlázás bevételei,</w:t>
      </w:r>
    </w:p>
    <w:p w14:paraId="7C609A28" w14:textId="77777777" w:rsidR="00E92927" w:rsidRPr="00E92927" w:rsidRDefault="00E92927" w:rsidP="00E92927">
      <w:pPr>
        <w:numPr>
          <w:ilvl w:val="0"/>
          <w:numId w:val="3"/>
        </w:numPr>
        <w:overflowPunct w:val="0"/>
        <w:autoSpaceDE w:val="0"/>
        <w:autoSpaceDN w:val="0"/>
        <w:adjustRightInd w:val="0"/>
        <w:spacing w:after="80"/>
        <w:jc w:val="both"/>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elosztói szolgáltatás nyújtása folyamatos jelleggel.</w:t>
      </w:r>
    </w:p>
    <w:p w14:paraId="2106F35C" w14:textId="77777777" w:rsidR="00E92927" w:rsidRPr="00E92927" w:rsidRDefault="00E92927" w:rsidP="00E92927">
      <w:pPr>
        <w:autoSpaceDE w:val="0"/>
        <w:autoSpaceDN w:val="0"/>
        <w:spacing w:after="80"/>
        <w:jc w:val="both"/>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 xml:space="preserve">A hitelkockázat elemzését minden olyan Rendszerhasználóra el kell végezni, amely jelenleg szerződéses jogviszonyban áll (rendszerhasználatra jogosító = földgázelosztási/kapacitáslekötési/rendszerhasználati szerződéssel rendelkező), vagy szerződéses jogviszonyt létrehozni kíván (= rendszerhasználati szerződést kötni szándékozó). </w:t>
      </w:r>
    </w:p>
    <w:p w14:paraId="22B2C998" w14:textId="77777777" w:rsidR="00E92927" w:rsidRPr="00E92927" w:rsidRDefault="00E92927" w:rsidP="00E92927">
      <w:pPr>
        <w:overflowPunct w:val="0"/>
        <w:autoSpaceDE w:val="0"/>
        <w:autoSpaceDN w:val="0"/>
        <w:adjustRightInd w:val="0"/>
        <w:ind w:left="567" w:hanging="567"/>
        <w:textAlignment w:val="baseline"/>
        <w:rPr>
          <w:rFonts w:ascii="Times New Roman" w:eastAsia="Times New Roman" w:hAnsi="Times New Roman" w:cs="Times New Roman"/>
          <w:lang w:eastAsia="hu-HU"/>
        </w:rPr>
      </w:pPr>
    </w:p>
    <w:p w14:paraId="3FEC9666" w14:textId="77777777" w:rsidR="00E92927" w:rsidRPr="00E92927" w:rsidRDefault="00E92927" w:rsidP="00E92927">
      <w:pPr>
        <w:keepNext/>
        <w:ind w:left="567" w:hanging="567"/>
        <w:outlineLvl w:val="1"/>
        <w:rPr>
          <w:rFonts w:ascii="Times New Roman" w:eastAsia="Times New Roman" w:hAnsi="Times New Roman" w:cs="Times New Roman"/>
          <w:b/>
          <w:bCs/>
          <w:iCs/>
          <w:lang w:eastAsia="hu-HU"/>
        </w:rPr>
      </w:pPr>
      <w:r w:rsidRPr="00E92927">
        <w:rPr>
          <w:rFonts w:ascii="Times New Roman" w:eastAsia="Times New Roman" w:hAnsi="Times New Roman" w:cs="Times New Roman"/>
          <w:b/>
          <w:bCs/>
          <w:iCs/>
          <w:lang w:eastAsia="hu-HU"/>
        </w:rPr>
        <w:t>3. Az ügyfélkockázat-kezelési rendszer leírása</w:t>
      </w:r>
    </w:p>
    <w:p w14:paraId="72529A26"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p>
    <w:p w14:paraId="65F08E80"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 xml:space="preserve">Az Elosztó a rendszerhasználati szerződésekben (korábban földgázelosztási / kapacitás-lekötési) foglalt ügyletek biztosítása érdekében jogosult a Rendszerhasználóktól előzetesen szerződéses biztosítékot kérni. A szerződéses biztosíték meghatározásánál az Elosztó a Vhr. 85-86. § alapján, a jelen Szabályzatban foglaltak szerint jár el. </w:t>
      </w:r>
    </w:p>
    <w:p w14:paraId="5897B784"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p>
    <w:p w14:paraId="4F6815D3"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A Rendszerhasználók pénzügyi stabilitásának megítélése objektív szempontokon alapul, megfelelően súlyozva az egyes szempontok</w:t>
      </w:r>
      <w:r w:rsidRPr="00E92927" w:rsidDel="00212BF3">
        <w:rPr>
          <w:rFonts w:ascii="Times New Roman" w:eastAsia="Times New Roman" w:hAnsi="Times New Roman" w:cs="Times New Roman"/>
          <w:lang w:eastAsia="hu-HU"/>
        </w:rPr>
        <w:t xml:space="preserve"> </w:t>
      </w:r>
      <w:r w:rsidRPr="00E92927">
        <w:rPr>
          <w:rFonts w:ascii="Times New Roman" w:eastAsia="Times New Roman" w:hAnsi="Times New Roman" w:cs="Times New Roman"/>
          <w:lang w:eastAsia="hu-HU"/>
        </w:rPr>
        <w:t>által biztosított információkat. A külső, megbízott céginformációs szolgáltató által biztosított egyedi ügyfélminősítés figyelembevétele, továbbá a fizetési fegyelem folyamatos figyelemmel kísérése</w:t>
      </w:r>
      <w:r w:rsidRPr="00E92927">
        <w:rPr>
          <w:rFonts w:ascii="Times New Roman" w:eastAsia="Times New Roman" w:hAnsi="Times New Roman" w:cs="Times New Roman"/>
          <w:i/>
          <w:iCs/>
          <w:lang w:eastAsia="hu-HU"/>
        </w:rPr>
        <w:t xml:space="preserve"> </w:t>
      </w:r>
      <w:r w:rsidRPr="00E92927">
        <w:rPr>
          <w:rFonts w:ascii="Times New Roman" w:eastAsia="Times New Roman" w:hAnsi="Times New Roman" w:cs="Times New Roman"/>
          <w:lang w:eastAsia="hu-HU"/>
        </w:rPr>
        <w:t xml:space="preserve">biztosítja azt, hogy minden Rendszerhasználó pénzügyi helyzete azonos módszertan szerint kerüljön elbírálásra. </w:t>
      </w:r>
    </w:p>
    <w:p w14:paraId="671A1571"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color w:val="000000" w:themeColor="text1"/>
          <w:lang w:eastAsia="hu-HU"/>
        </w:rPr>
      </w:pPr>
    </w:p>
    <w:p w14:paraId="6EB58F6D"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color w:val="000000" w:themeColor="text1"/>
          <w:lang w:eastAsia="hu-HU"/>
        </w:rPr>
      </w:pPr>
      <w:r w:rsidRPr="00E92927">
        <w:rPr>
          <w:rFonts w:ascii="Times New Roman" w:eastAsia="Times New Roman" w:hAnsi="Times New Roman" w:cs="Times New Roman"/>
          <w:color w:val="000000" w:themeColor="text1"/>
          <w:lang w:eastAsia="hu-HU"/>
        </w:rPr>
        <w:t>Az Elosztó alapelve a diszkrimináció mentesség, így azonos módszertan alapján végzi a Rendszerhasználók kockázat-kezelési kategorizálását. A Rendszerhasználó értékelését a rendszerhasználati szerződés, vagy a rendszerhasználati díjnak az Elosztó részére történő megfizetését biztosító egyéb szerződés (továbbiakban egységesen: „Szerződés”) kötését megelőzően; vagy annak módosításakor el kell végezni; ezt követően monitoring rendszerben az ügyfél felülvizsgálata folyamatosan történik.</w:t>
      </w:r>
    </w:p>
    <w:p w14:paraId="464C40B5" w14:textId="77777777" w:rsidR="00E92927" w:rsidRPr="00E92927" w:rsidRDefault="00E92927" w:rsidP="00E92927">
      <w:pPr>
        <w:overflowPunct w:val="0"/>
        <w:autoSpaceDE w:val="0"/>
        <w:autoSpaceDN w:val="0"/>
        <w:adjustRightInd w:val="0"/>
        <w:textAlignment w:val="baseline"/>
        <w:rPr>
          <w:rFonts w:ascii="Times New Roman" w:eastAsia="Times New Roman" w:hAnsi="Times New Roman" w:cs="Times New Roman"/>
          <w:color w:val="000000" w:themeColor="text1"/>
          <w:lang w:eastAsia="hu-HU"/>
        </w:rPr>
      </w:pPr>
    </w:p>
    <w:p w14:paraId="765B402F"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color w:val="000000" w:themeColor="text1"/>
          <w:lang w:eastAsia="hu-HU"/>
        </w:rPr>
      </w:pPr>
      <w:r w:rsidRPr="00E92927">
        <w:rPr>
          <w:rFonts w:ascii="Times New Roman" w:eastAsia="Times New Roman" w:hAnsi="Times New Roman" w:cs="Times New Roman"/>
          <w:color w:val="000000" w:themeColor="text1"/>
          <w:lang w:eastAsia="hu-HU"/>
        </w:rPr>
        <w:t xml:space="preserve">Az Elosztó megkeresésére a céginformációs szolgáltató nyilvános forrásokból beszerzett információk alapján kialakítja a cég pénzügyi stabilitásáról alkotott véleményét, és az általa alkalmazott minősítő rendszer alapján – írásos formában – javaslatot tesz a cég pénzügyi pontszámára. </w:t>
      </w:r>
    </w:p>
    <w:p w14:paraId="25BA4283"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color w:val="000000" w:themeColor="text1"/>
          <w:lang w:eastAsia="hu-HU"/>
        </w:rPr>
      </w:pPr>
    </w:p>
    <w:p w14:paraId="759663BE" w14:textId="77777777" w:rsidR="00E92927" w:rsidRPr="00E92927" w:rsidRDefault="00E92927" w:rsidP="00E92927">
      <w:pPr>
        <w:keepNext/>
        <w:spacing w:before="240" w:after="60"/>
        <w:ind w:left="567" w:hanging="567"/>
        <w:outlineLvl w:val="2"/>
        <w:rPr>
          <w:rFonts w:ascii="Times New Roman" w:eastAsia="Times New Roman" w:hAnsi="Times New Roman" w:cs="Times New Roman"/>
          <w:b/>
          <w:bCs/>
          <w:lang w:eastAsia="hu-HU"/>
        </w:rPr>
      </w:pPr>
      <w:r w:rsidRPr="00E92927">
        <w:rPr>
          <w:rFonts w:ascii="Arial" w:eastAsia="Times New Roman" w:hAnsi="Arial" w:cs="Arial"/>
          <w:b/>
          <w:bCs/>
          <w:lang w:eastAsia="hu-HU"/>
        </w:rPr>
        <w:lastRenderedPageBreak/>
        <w:t xml:space="preserve">3.1. </w:t>
      </w:r>
      <w:r w:rsidRPr="00E92927">
        <w:rPr>
          <w:rFonts w:ascii="Times New Roman" w:eastAsia="Times New Roman" w:hAnsi="Times New Roman" w:cs="Times New Roman"/>
          <w:b/>
          <w:bCs/>
          <w:lang w:eastAsia="hu-HU"/>
        </w:rPr>
        <w:t>Pénzügyi pontszám</w:t>
      </w:r>
    </w:p>
    <w:p w14:paraId="257D6D28" w14:textId="77777777" w:rsidR="00E92927" w:rsidRPr="00E92927" w:rsidRDefault="00E92927" w:rsidP="00E92927">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A pénzügyi mutatószámok kiszámolását és az eredmények értékelését a céginformációs szolgáltató végzi. A pénzügyi mutatószámok kiszámolásakor a céginformációs szolgáltató a következő pénzügyi dokumentumokra támaszkodik:</w:t>
      </w:r>
    </w:p>
    <w:p w14:paraId="57D15831" w14:textId="77777777" w:rsidR="00E92927" w:rsidRPr="00E92927" w:rsidRDefault="00E92927" w:rsidP="00E92927">
      <w:pPr>
        <w:numPr>
          <w:ilvl w:val="0"/>
          <w:numId w:val="1"/>
        </w:num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Mérleg</w:t>
      </w:r>
    </w:p>
    <w:p w14:paraId="153146A4" w14:textId="77777777" w:rsidR="00E92927" w:rsidRPr="00E92927" w:rsidRDefault="00E92927" w:rsidP="00E92927">
      <w:pPr>
        <w:numPr>
          <w:ilvl w:val="0"/>
          <w:numId w:val="1"/>
        </w:num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Eredmény-kimutatás</w:t>
      </w:r>
    </w:p>
    <w:p w14:paraId="1E6FB834" w14:textId="77777777" w:rsidR="00E92927" w:rsidRPr="00E92927" w:rsidRDefault="00E92927" w:rsidP="00E92927">
      <w:pPr>
        <w:numPr>
          <w:ilvl w:val="0"/>
          <w:numId w:val="1"/>
        </w:num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Kiegészítő melléklet</w:t>
      </w:r>
    </w:p>
    <w:p w14:paraId="3EFA6654"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Amennyiben a céginformációs szolgáltató elemzése nem a legfrissebb pénzügyi dokumentumokra támaszkodik,</w:t>
      </w:r>
      <w:r w:rsidRPr="00E92927">
        <w:rPr>
          <w:rFonts w:ascii="Times New Roman" w:eastAsia="Times New Roman" w:hAnsi="Times New Roman" w:cs="Times New Roman"/>
          <w:i/>
          <w:iCs/>
          <w:lang w:eastAsia="hu-HU"/>
        </w:rPr>
        <w:t xml:space="preserve"> </w:t>
      </w:r>
      <w:r w:rsidRPr="00E92927">
        <w:rPr>
          <w:rFonts w:ascii="Times New Roman" w:eastAsia="Times New Roman" w:hAnsi="Times New Roman" w:cs="Times New Roman"/>
          <w:lang w:eastAsia="hu-HU"/>
        </w:rPr>
        <w:t>amely a Rendszerhasználó felróható magatartására, mulasztására vezethető vissza, abban az esetben az Elosztó jogosult a legfrissebb pénzügyi dokumentumokat bekérni a Rendszerhasználótól ésszerű határidőn belül. Amennyiben ennek a Rendszerhasználó az Elosztó felhívására nem tesz eleget a kitűzött határidőn belül, úgy az Elosztó jogosult a Rendszerhasználó pénzügyi pontszámát a felére csökkenteni és ezen értéket figyelembe venni.</w:t>
      </w:r>
    </w:p>
    <w:p w14:paraId="27346A47"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i/>
          <w:iCs/>
          <w:lang w:eastAsia="hu-HU"/>
        </w:rPr>
      </w:pPr>
    </w:p>
    <w:p w14:paraId="20DDDD64"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A pénzügyi pontszám 0 és 100 pont közötti értéket vehet fel azzal, hogy a 100 pont a legjobb, a 0 pont a legrosszabb értéket jelenti.</w:t>
      </w:r>
      <w:r w:rsidRPr="00E92927">
        <w:rPr>
          <w:rFonts w:ascii="Times New Roman" w:eastAsia="Times New Roman" w:hAnsi="Times New Roman" w:cs="Times New Roman"/>
          <w:i/>
          <w:iCs/>
          <w:lang w:eastAsia="hu-HU"/>
        </w:rPr>
        <w:t xml:space="preserve"> </w:t>
      </w:r>
      <w:r w:rsidRPr="00E92927">
        <w:rPr>
          <w:rFonts w:ascii="Times New Roman" w:eastAsia="Times New Roman" w:hAnsi="Times New Roman" w:cs="Times New Roman"/>
          <w:lang w:eastAsia="hu-HU"/>
        </w:rPr>
        <w:t>A pénzügyi pontszám számításának metodikája a céginformációs szolgáltató számítási metodikáján alapul.</w:t>
      </w:r>
    </w:p>
    <w:p w14:paraId="7A83169F" w14:textId="77777777" w:rsidR="00E92927" w:rsidRPr="00E92927" w:rsidRDefault="00E92927" w:rsidP="00E92927">
      <w:pPr>
        <w:keepNext/>
        <w:spacing w:before="240" w:after="60"/>
        <w:ind w:left="567" w:hanging="567"/>
        <w:outlineLvl w:val="2"/>
        <w:rPr>
          <w:rFonts w:ascii="Times New Roman" w:eastAsia="Times New Roman" w:hAnsi="Times New Roman" w:cs="Times New Roman"/>
          <w:b/>
          <w:bCs/>
          <w:lang w:eastAsia="hu-HU"/>
        </w:rPr>
      </w:pPr>
      <w:r w:rsidRPr="00E92927">
        <w:rPr>
          <w:rFonts w:ascii="Arial" w:eastAsia="Times New Roman" w:hAnsi="Arial" w:cs="Arial"/>
          <w:b/>
          <w:bCs/>
          <w:lang w:eastAsia="hu-HU"/>
        </w:rPr>
        <w:t xml:space="preserve">3.2 </w:t>
      </w:r>
      <w:r w:rsidRPr="00E92927">
        <w:rPr>
          <w:rFonts w:ascii="Times New Roman" w:eastAsia="Times New Roman" w:hAnsi="Times New Roman" w:cs="Times New Roman"/>
          <w:b/>
          <w:bCs/>
          <w:lang w:eastAsia="hu-HU"/>
        </w:rPr>
        <w:t>Fizetési pontszám</w:t>
      </w:r>
    </w:p>
    <w:p w14:paraId="1207D50A" w14:textId="77777777" w:rsidR="00E92927" w:rsidRPr="00E92927" w:rsidRDefault="00E92927" w:rsidP="00E92927">
      <w:pPr>
        <w:overflowPunct w:val="0"/>
        <w:autoSpaceDE w:val="0"/>
        <w:autoSpaceDN w:val="0"/>
        <w:adjustRightInd w:val="0"/>
        <w:textAlignment w:val="baseline"/>
        <w:rPr>
          <w:rFonts w:ascii="Times New Roman" w:eastAsia="Times New Roman" w:hAnsi="Times New Roman" w:cs="Times New Roman"/>
          <w:lang w:eastAsia="hu-HU"/>
        </w:rPr>
      </w:pPr>
    </w:p>
    <w:p w14:paraId="51849D19"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 xml:space="preserve">A fizetési pontszám kialakítása során az Elosztó a Rendszerhasználó előző 6 (hat) havi értesítéseit (fizetési felszólító/biztosíték érvényesítése/jogi eljárás indítása) veszi tételesen sorba. </w:t>
      </w:r>
    </w:p>
    <w:p w14:paraId="678BB853"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p>
    <w:p w14:paraId="762B25BC"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Ezen adatokat az Elosztó összesíti, és meghatározza a pontszámot az alábbi elvek alapján.</w:t>
      </w:r>
    </w:p>
    <w:p w14:paraId="7053987A" w14:textId="77777777" w:rsidR="00E92927" w:rsidRPr="00E92927" w:rsidRDefault="00E92927" w:rsidP="00E92927">
      <w:pPr>
        <w:overflowPunct w:val="0"/>
        <w:autoSpaceDE w:val="0"/>
        <w:autoSpaceDN w:val="0"/>
        <w:adjustRightInd w:val="0"/>
        <w:textAlignment w:val="baseline"/>
        <w:rPr>
          <w:rFonts w:ascii="Times New Roman" w:eastAsia="Times New Roman" w:hAnsi="Times New Roman" w:cs="Times New Roman"/>
          <w:lang w:eastAsia="hu-HU"/>
        </w:rPr>
      </w:pPr>
    </w:p>
    <w:p w14:paraId="520D71D6" w14:textId="77777777" w:rsidR="00E92927" w:rsidRPr="00E92927" w:rsidRDefault="00E92927" w:rsidP="00E92927">
      <w:pPr>
        <w:overflowPunct w:val="0"/>
        <w:autoSpaceDE w:val="0"/>
        <w:autoSpaceDN w:val="0"/>
        <w:adjustRightInd w:val="0"/>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Az elmúlt hat hónapban a Rendszerhasználónak:</w:t>
      </w:r>
    </w:p>
    <w:p w14:paraId="68D4FFC6" w14:textId="77777777" w:rsidR="00E92927" w:rsidRPr="00E92927" w:rsidRDefault="00E92927" w:rsidP="00E92927">
      <w:pPr>
        <w:overflowPunct w:val="0"/>
        <w:autoSpaceDE w:val="0"/>
        <w:autoSpaceDN w:val="0"/>
        <w:adjustRightInd w:val="0"/>
        <w:textAlignment w:val="baseline"/>
        <w:rPr>
          <w:rFonts w:ascii="Times New Roman" w:eastAsia="Times New Roman" w:hAnsi="Times New Roman" w:cs="Times New Roman"/>
          <w:lang w:eastAsia="hu-HU"/>
        </w:rPr>
      </w:pPr>
    </w:p>
    <w:p w14:paraId="4E653163" w14:textId="298B6357" w:rsidR="00E92927" w:rsidRPr="00E92927" w:rsidRDefault="00E92927" w:rsidP="00E92927">
      <w:pPr>
        <w:overflowPunct w:val="0"/>
        <w:autoSpaceDE w:val="0"/>
        <w:autoSpaceDN w:val="0"/>
        <w:adjustRightInd w:val="0"/>
        <w:jc w:val="center"/>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noProof/>
          <w:lang w:eastAsia="hu-HU"/>
        </w:rPr>
        <w:drawing>
          <wp:inline distT="0" distB="0" distL="0" distR="0" wp14:anchorId="3262FDFC" wp14:editId="309A4665">
            <wp:extent cx="3505200" cy="81915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05200" cy="819150"/>
                    </a:xfrm>
                    <a:prstGeom prst="rect">
                      <a:avLst/>
                    </a:prstGeom>
                    <a:noFill/>
                    <a:ln>
                      <a:noFill/>
                    </a:ln>
                  </pic:spPr>
                </pic:pic>
              </a:graphicData>
            </a:graphic>
          </wp:inline>
        </w:drawing>
      </w:r>
    </w:p>
    <w:p w14:paraId="1B24705E" w14:textId="77777777" w:rsidR="00E92927" w:rsidRPr="00E92927" w:rsidRDefault="00E92927" w:rsidP="00E92927">
      <w:pPr>
        <w:overflowPunct w:val="0"/>
        <w:autoSpaceDE w:val="0"/>
        <w:autoSpaceDN w:val="0"/>
        <w:adjustRightInd w:val="0"/>
        <w:textAlignment w:val="baseline"/>
        <w:rPr>
          <w:rFonts w:ascii="Times New Roman" w:eastAsia="Times New Roman" w:hAnsi="Times New Roman" w:cs="Times New Roman"/>
          <w:lang w:eastAsia="hu-HU"/>
        </w:rPr>
      </w:pPr>
    </w:p>
    <w:p w14:paraId="5FF791F9" w14:textId="77777777" w:rsidR="00E92927" w:rsidRPr="00E92927" w:rsidRDefault="00E92927" w:rsidP="00E92927">
      <w:pPr>
        <w:keepNext/>
        <w:numPr>
          <w:ilvl w:val="1"/>
          <w:numId w:val="5"/>
        </w:numPr>
        <w:overflowPunct w:val="0"/>
        <w:autoSpaceDE w:val="0"/>
        <w:autoSpaceDN w:val="0"/>
        <w:adjustRightInd w:val="0"/>
        <w:spacing w:before="240" w:after="60"/>
        <w:ind w:left="567" w:hanging="567"/>
        <w:textAlignment w:val="baseline"/>
        <w:outlineLvl w:val="2"/>
        <w:rPr>
          <w:rFonts w:ascii="Times New Roman" w:eastAsia="Times New Roman" w:hAnsi="Times New Roman" w:cs="Times New Roman"/>
          <w:b/>
          <w:bCs/>
          <w:lang w:eastAsia="hu-HU"/>
        </w:rPr>
      </w:pPr>
      <w:r w:rsidRPr="00E92927">
        <w:rPr>
          <w:rFonts w:ascii="Times New Roman" w:eastAsia="Times New Roman" w:hAnsi="Times New Roman" w:cs="Times New Roman"/>
          <w:b/>
          <w:bCs/>
          <w:lang w:eastAsia="hu-HU"/>
        </w:rPr>
        <w:t>Kockázati besorolás</w:t>
      </w:r>
    </w:p>
    <w:p w14:paraId="37A7F6C4" w14:textId="77777777" w:rsidR="00E92927" w:rsidRPr="00E92927" w:rsidRDefault="00E92927" w:rsidP="00E92927">
      <w:pPr>
        <w:overflowPunct w:val="0"/>
        <w:autoSpaceDE w:val="0"/>
        <w:autoSpaceDN w:val="0"/>
        <w:adjustRightInd w:val="0"/>
        <w:textAlignment w:val="baseline"/>
        <w:rPr>
          <w:rFonts w:ascii="Times New Roman" w:eastAsia="Times New Roman" w:hAnsi="Times New Roman" w:cs="Times New Roman"/>
          <w:lang w:eastAsia="hu-HU"/>
        </w:rPr>
      </w:pPr>
    </w:p>
    <w:p w14:paraId="41B299F7"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A 3.1. pontban a céginformációs szolgáltató által meghatározott pénzügyi pontérték a 3.2. szerinti fizetési pontszámmal korrigálásra kerül, majd az így kapott pontszám alapján a Rendszerhasználó az alábbi kockázati csoportok valamelyikébe kerül besorolásra:</w:t>
      </w:r>
    </w:p>
    <w:p w14:paraId="7BC96D9F"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p>
    <w:tbl>
      <w:tblPr>
        <w:tblW w:w="0" w:type="auto"/>
        <w:jc w:val="center"/>
        <w:tblLook w:val="01E0" w:firstRow="1" w:lastRow="1" w:firstColumn="1" w:lastColumn="1" w:noHBand="0" w:noVBand="0"/>
      </w:tblPr>
      <w:tblGrid>
        <w:gridCol w:w="1921"/>
        <w:gridCol w:w="1133"/>
        <w:gridCol w:w="2562"/>
      </w:tblGrid>
      <w:tr w:rsidR="00E92927" w:rsidRPr="00E92927" w14:paraId="52AEEF69" w14:textId="77777777" w:rsidTr="00C211B7">
        <w:trPr>
          <w:trHeight w:val="433"/>
          <w:jc w:val="center"/>
        </w:trPr>
        <w:tc>
          <w:tcPr>
            <w:tcW w:w="0" w:type="auto"/>
            <w:vAlign w:val="center"/>
          </w:tcPr>
          <w:p w14:paraId="797F653E" w14:textId="77777777" w:rsidR="00E92927" w:rsidRPr="00E92927" w:rsidRDefault="00E92927" w:rsidP="00E92927">
            <w:pPr>
              <w:overflowPunct w:val="0"/>
              <w:autoSpaceDE w:val="0"/>
              <w:autoSpaceDN w:val="0"/>
              <w:adjustRightInd w:val="0"/>
              <w:ind w:left="-110"/>
              <w:jc w:val="center"/>
              <w:textAlignment w:val="baseline"/>
              <w:rPr>
                <w:rFonts w:ascii="Times New Roman" w:eastAsia="Times New Roman" w:hAnsi="Times New Roman" w:cs="Times New Roman"/>
                <w:b/>
                <w:lang w:eastAsia="hu-HU"/>
              </w:rPr>
            </w:pPr>
            <w:r w:rsidRPr="00E92927">
              <w:rPr>
                <w:rFonts w:ascii="Times New Roman" w:eastAsia="Times New Roman" w:hAnsi="Times New Roman" w:cs="Times New Roman"/>
                <w:b/>
                <w:lang w:eastAsia="hu-HU"/>
              </w:rPr>
              <w:t>Kockázati csoport</w:t>
            </w:r>
          </w:p>
        </w:tc>
        <w:tc>
          <w:tcPr>
            <w:tcW w:w="0" w:type="auto"/>
            <w:vAlign w:val="center"/>
          </w:tcPr>
          <w:p w14:paraId="275BFEBA" w14:textId="77777777" w:rsidR="00E92927" w:rsidRPr="00E92927" w:rsidRDefault="00E92927" w:rsidP="00E92927">
            <w:pPr>
              <w:overflowPunct w:val="0"/>
              <w:autoSpaceDE w:val="0"/>
              <w:autoSpaceDN w:val="0"/>
              <w:adjustRightInd w:val="0"/>
              <w:jc w:val="center"/>
              <w:textAlignment w:val="baseline"/>
              <w:rPr>
                <w:rFonts w:ascii="Times New Roman" w:eastAsia="Times New Roman" w:hAnsi="Times New Roman" w:cs="Times New Roman"/>
                <w:b/>
                <w:lang w:eastAsia="hu-HU"/>
              </w:rPr>
            </w:pPr>
            <w:r w:rsidRPr="00E92927">
              <w:rPr>
                <w:rFonts w:ascii="Times New Roman" w:eastAsia="Times New Roman" w:hAnsi="Times New Roman" w:cs="Times New Roman"/>
                <w:b/>
                <w:lang w:eastAsia="hu-HU"/>
              </w:rPr>
              <w:t>Pontszám</w:t>
            </w:r>
          </w:p>
        </w:tc>
        <w:tc>
          <w:tcPr>
            <w:tcW w:w="0" w:type="auto"/>
            <w:vAlign w:val="center"/>
          </w:tcPr>
          <w:p w14:paraId="0F47DB26" w14:textId="77777777" w:rsidR="00E92927" w:rsidRPr="00E92927" w:rsidRDefault="00E92927" w:rsidP="00E92927">
            <w:pPr>
              <w:overflowPunct w:val="0"/>
              <w:autoSpaceDE w:val="0"/>
              <w:autoSpaceDN w:val="0"/>
              <w:adjustRightInd w:val="0"/>
              <w:jc w:val="center"/>
              <w:textAlignment w:val="baseline"/>
              <w:rPr>
                <w:rFonts w:ascii="Times New Roman" w:eastAsia="Times New Roman" w:hAnsi="Times New Roman" w:cs="Times New Roman"/>
                <w:b/>
                <w:lang w:eastAsia="hu-HU"/>
              </w:rPr>
            </w:pPr>
            <w:r w:rsidRPr="00E92927">
              <w:rPr>
                <w:rFonts w:ascii="Times New Roman" w:eastAsia="Times New Roman" w:hAnsi="Times New Roman" w:cs="Times New Roman"/>
                <w:b/>
                <w:lang w:eastAsia="hu-HU"/>
              </w:rPr>
              <w:t>Kategória jelentése</w:t>
            </w:r>
          </w:p>
        </w:tc>
      </w:tr>
      <w:tr w:rsidR="00E92927" w:rsidRPr="00E92927" w14:paraId="439C067F" w14:textId="77777777" w:rsidTr="00C211B7">
        <w:trPr>
          <w:trHeight w:val="516"/>
          <w:jc w:val="center"/>
        </w:trPr>
        <w:tc>
          <w:tcPr>
            <w:tcW w:w="0" w:type="auto"/>
            <w:vAlign w:val="center"/>
          </w:tcPr>
          <w:p w14:paraId="1C23683D" w14:textId="77777777" w:rsidR="00E92927" w:rsidRPr="00E92927" w:rsidRDefault="00E92927" w:rsidP="00E92927">
            <w:pPr>
              <w:overflowPunct w:val="0"/>
              <w:autoSpaceDE w:val="0"/>
              <w:autoSpaceDN w:val="0"/>
              <w:adjustRightInd w:val="0"/>
              <w:ind w:left="-110"/>
              <w:jc w:val="center"/>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A</w:t>
            </w:r>
          </w:p>
        </w:tc>
        <w:tc>
          <w:tcPr>
            <w:tcW w:w="0" w:type="auto"/>
            <w:vAlign w:val="center"/>
          </w:tcPr>
          <w:p w14:paraId="15629E84" w14:textId="77777777" w:rsidR="00E92927" w:rsidRPr="00E92927" w:rsidRDefault="00E92927" w:rsidP="00E92927">
            <w:pPr>
              <w:overflowPunct w:val="0"/>
              <w:autoSpaceDE w:val="0"/>
              <w:autoSpaceDN w:val="0"/>
              <w:adjustRightInd w:val="0"/>
              <w:jc w:val="center"/>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72 - 100</w:t>
            </w:r>
          </w:p>
        </w:tc>
        <w:tc>
          <w:tcPr>
            <w:tcW w:w="0" w:type="auto"/>
            <w:vAlign w:val="center"/>
          </w:tcPr>
          <w:p w14:paraId="0367E3D5" w14:textId="77777777" w:rsidR="00E92927" w:rsidRPr="00E92927" w:rsidRDefault="00E92927" w:rsidP="00E92927">
            <w:pPr>
              <w:overflowPunct w:val="0"/>
              <w:autoSpaceDE w:val="0"/>
              <w:autoSpaceDN w:val="0"/>
              <w:adjustRightInd w:val="0"/>
              <w:jc w:val="center"/>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Kiváló hitelképesség</w:t>
            </w:r>
          </w:p>
        </w:tc>
      </w:tr>
      <w:tr w:rsidR="00E92927" w:rsidRPr="00E92927" w14:paraId="01A0CCED" w14:textId="77777777" w:rsidTr="00C211B7">
        <w:trPr>
          <w:trHeight w:val="431"/>
          <w:jc w:val="center"/>
        </w:trPr>
        <w:tc>
          <w:tcPr>
            <w:tcW w:w="0" w:type="auto"/>
            <w:vAlign w:val="center"/>
          </w:tcPr>
          <w:p w14:paraId="53B1FEBE" w14:textId="77777777" w:rsidR="00E92927" w:rsidRPr="00E92927" w:rsidRDefault="00E92927" w:rsidP="00E92927">
            <w:pPr>
              <w:overflowPunct w:val="0"/>
              <w:autoSpaceDE w:val="0"/>
              <w:autoSpaceDN w:val="0"/>
              <w:adjustRightInd w:val="0"/>
              <w:ind w:left="-110"/>
              <w:jc w:val="center"/>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B</w:t>
            </w:r>
          </w:p>
        </w:tc>
        <w:tc>
          <w:tcPr>
            <w:tcW w:w="0" w:type="auto"/>
            <w:vAlign w:val="center"/>
          </w:tcPr>
          <w:p w14:paraId="6E86993C" w14:textId="77777777" w:rsidR="00E92927" w:rsidRPr="00E92927" w:rsidRDefault="00E92927" w:rsidP="00E92927">
            <w:pPr>
              <w:overflowPunct w:val="0"/>
              <w:autoSpaceDE w:val="0"/>
              <w:autoSpaceDN w:val="0"/>
              <w:adjustRightInd w:val="0"/>
              <w:jc w:val="center"/>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56 - 71</w:t>
            </w:r>
          </w:p>
        </w:tc>
        <w:tc>
          <w:tcPr>
            <w:tcW w:w="0" w:type="auto"/>
            <w:vAlign w:val="center"/>
          </w:tcPr>
          <w:p w14:paraId="3CB18750" w14:textId="77777777" w:rsidR="00E92927" w:rsidRPr="00E92927" w:rsidRDefault="00E92927" w:rsidP="00E92927">
            <w:pPr>
              <w:overflowPunct w:val="0"/>
              <w:autoSpaceDE w:val="0"/>
              <w:autoSpaceDN w:val="0"/>
              <w:adjustRightInd w:val="0"/>
              <w:jc w:val="center"/>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Átlag feletti hitelképesség</w:t>
            </w:r>
          </w:p>
        </w:tc>
      </w:tr>
      <w:tr w:rsidR="00E92927" w:rsidRPr="00E92927" w14:paraId="49BE5A14" w14:textId="77777777" w:rsidTr="00C211B7">
        <w:trPr>
          <w:trHeight w:val="503"/>
          <w:jc w:val="center"/>
        </w:trPr>
        <w:tc>
          <w:tcPr>
            <w:tcW w:w="0" w:type="auto"/>
            <w:vAlign w:val="center"/>
          </w:tcPr>
          <w:p w14:paraId="10E250CE" w14:textId="77777777" w:rsidR="00E92927" w:rsidRPr="00E92927" w:rsidRDefault="00E92927" w:rsidP="00E92927">
            <w:pPr>
              <w:overflowPunct w:val="0"/>
              <w:autoSpaceDE w:val="0"/>
              <w:autoSpaceDN w:val="0"/>
              <w:adjustRightInd w:val="0"/>
              <w:ind w:left="-110"/>
              <w:jc w:val="center"/>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C</w:t>
            </w:r>
          </w:p>
        </w:tc>
        <w:tc>
          <w:tcPr>
            <w:tcW w:w="0" w:type="auto"/>
            <w:vAlign w:val="center"/>
          </w:tcPr>
          <w:p w14:paraId="5542A4DC" w14:textId="77777777" w:rsidR="00E92927" w:rsidRPr="00E92927" w:rsidRDefault="00E92927" w:rsidP="00E92927">
            <w:pPr>
              <w:overflowPunct w:val="0"/>
              <w:autoSpaceDE w:val="0"/>
              <w:autoSpaceDN w:val="0"/>
              <w:adjustRightInd w:val="0"/>
              <w:jc w:val="center"/>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43 - 55</w:t>
            </w:r>
          </w:p>
        </w:tc>
        <w:tc>
          <w:tcPr>
            <w:tcW w:w="0" w:type="auto"/>
            <w:vAlign w:val="center"/>
          </w:tcPr>
          <w:p w14:paraId="78BB6FD6" w14:textId="77777777" w:rsidR="00E92927" w:rsidRPr="00E92927" w:rsidRDefault="00E92927" w:rsidP="00E92927">
            <w:pPr>
              <w:overflowPunct w:val="0"/>
              <w:autoSpaceDE w:val="0"/>
              <w:autoSpaceDN w:val="0"/>
              <w:adjustRightInd w:val="0"/>
              <w:jc w:val="center"/>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Átlagos hitelképesség</w:t>
            </w:r>
          </w:p>
        </w:tc>
      </w:tr>
      <w:tr w:rsidR="00E92927" w:rsidRPr="00E92927" w14:paraId="7C20BA2A" w14:textId="77777777" w:rsidTr="00C211B7">
        <w:trPr>
          <w:trHeight w:val="459"/>
          <w:jc w:val="center"/>
        </w:trPr>
        <w:tc>
          <w:tcPr>
            <w:tcW w:w="0" w:type="auto"/>
            <w:vAlign w:val="center"/>
          </w:tcPr>
          <w:p w14:paraId="26929C7D" w14:textId="77777777" w:rsidR="00E92927" w:rsidRPr="00E92927" w:rsidRDefault="00E92927" w:rsidP="00E92927">
            <w:pPr>
              <w:overflowPunct w:val="0"/>
              <w:autoSpaceDE w:val="0"/>
              <w:autoSpaceDN w:val="0"/>
              <w:adjustRightInd w:val="0"/>
              <w:ind w:left="-110"/>
              <w:jc w:val="center"/>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D</w:t>
            </w:r>
          </w:p>
        </w:tc>
        <w:tc>
          <w:tcPr>
            <w:tcW w:w="0" w:type="auto"/>
            <w:vAlign w:val="center"/>
          </w:tcPr>
          <w:p w14:paraId="618A3E7A" w14:textId="77777777" w:rsidR="00E92927" w:rsidRPr="00E92927" w:rsidRDefault="00E92927" w:rsidP="00E92927">
            <w:pPr>
              <w:overflowPunct w:val="0"/>
              <w:autoSpaceDE w:val="0"/>
              <w:autoSpaceDN w:val="0"/>
              <w:adjustRightInd w:val="0"/>
              <w:jc w:val="center"/>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21 - 42</w:t>
            </w:r>
          </w:p>
        </w:tc>
        <w:tc>
          <w:tcPr>
            <w:tcW w:w="0" w:type="auto"/>
            <w:vAlign w:val="center"/>
          </w:tcPr>
          <w:p w14:paraId="0F8BAAB6" w14:textId="77777777" w:rsidR="00E92927" w:rsidRPr="00E92927" w:rsidRDefault="00E92927" w:rsidP="00E92927">
            <w:pPr>
              <w:overflowPunct w:val="0"/>
              <w:autoSpaceDE w:val="0"/>
              <w:autoSpaceDN w:val="0"/>
              <w:adjustRightInd w:val="0"/>
              <w:jc w:val="center"/>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Átlag alatti hitelképesség</w:t>
            </w:r>
          </w:p>
        </w:tc>
      </w:tr>
      <w:tr w:rsidR="00E92927" w:rsidRPr="00E92927" w14:paraId="11DE0BAD" w14:textId="77777777" w:rsidTr="00C211B7">
        <w:trPr>
          <w:trHeight w:val="422"/>
          <w:jc w:val="center"/>
        </w:trPr>
        <w:tc>
          <w:tcPr>
            <w:tcW w:w="0" w:type="auto"/>
            <w:vAlign w:val="center"/>
          </w:tcPr>
          <w:p w14:paraId="0E92EA5A" w14:textId="77777777" w:rsidR="00E92927" w:rsidRPr="00E92927" w:rsidRDefault="00E92927" w:rsidP="00E92927">
            <w:pPr>
              <w:overflowPunct w:val="0"/>
              <w:autoSpaceDE w:val="0"/>
              <w:autoSpaceDN w:val="0"/>
              <w:adjustRightInd w:val="0"/>
              <w:ind w:left="-110"/>
              <w:jc w:val="center"/>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E</w:t>
            </w:r>
          </w:p>
        </w:tc>
        <w:tc>
          <w:tcPr>
            <w:tcW w:w="0" w:type="auto"/>
            <w:vAlign w:val="center"/>
          </w:tcPr>
          <w:p w14:paraId="3535335F" w14:textId="77777777" w:rsidR="00E92927" w:rsidRPr="00E92927" w:rsidRDefault="00E92927" w:rsidP="00E92927">
            <w:pPr>
              <w:overflowPunct w:val="0"/>
              <w:autoSpaceDE w:val="0"/>
              <w:autoSpaceDN w:val="0"/>
              <w:adjustRightInd w:val="0"/>
              <w:jc w:val="center"/>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0 - 20</w:t>
            </w:r>
          </w:p>
        </w:tc>
        <w:tc>
          <w:tcPr>
            <w:tcW w:w="0" w:type="auto"/>
            <w:vAlign w:val="center"/>
          </w:tcPr>
          <w:p w14:paraId="55009196" w14:textId="77777777" w:rsidR="00E92927" w:rsidRPr="00E92927" w:rsidRDefault="00E92927" w:rsidP="00E92927">
            <w:pPr>
              <w:overflowPunct w:val="0"/>
              <w:autoSpaceDE w:val="0"/>
              <w:autoSpaceDN w:val="0"/>
              <w:adjustRightInd w:val="0"/>
              <w:jc w:val="center"/>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Fokozott kockázatú ügyfél</w:t>
            </w:r>
          </w:p>
        </w:tc>
      </w:tr>
    </w:tbl>
    <w:p w14:paraId="0E7299B5" w14:textId="77777777" w:rsidR="00E92927" w:rsidRPr="00E92927" w:rsidRDefault="00E92927" w:rsidP="00E92927">
      <w:pPr>
        <w:overflowPunct w:val="0"/>
        <w:autoSpaceDE w:val="0"/>
        <w:autoSpaceDN w:val="0"/>
        <w:adjustRightInd w:val="0"/>
        <w:ind w:left="720"/>
        <w:contextualSpacing/>
        <w:textAlignment w:val="baseline"/>
        <w:rPr>
          <w:rFonts w:ascii="Times New Roman" w:eastAsia="Times New Roman" w:hAnsi="Times New Roman" w:cs="Times New Roman"/>
          <w:b/>
          <w:bCs/>
          <w:lang w:eastAsia="hu-HU"/>
        </w:rPr>
      </w:pPr>
    </w:p>
    <w:p w14:paraId="5D7F6E86" w14:textId="77777777" w:rsidR="00E92927" w:rsidRPr="00E92927" w:rsidRDefault="00E92927" w:rsidP="00E92927">
      <w:pPr>
        <w:keepNext/>
        <w:overflowPunct w:val="0"/>
        <w:autoSpaceDE w:val="0"/>
        <w:autoSpaceDN w:val="0"/>
        <w:adjustRightInd w:val="0"/>
        <w:ind w:left="567" w:hanging="567"/>
        <w:contextualSpacing/>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b/>
          <w:bCs/>
          <w:lang w:eastAsia="hu-HU"/>
        </w:rPr>
        <w:t xml:space="preserve">4. </w:t>
      </w:r>
      <w:r w:rsidRPr="00E92927">
        <w:rPr>
          <w:rFonts w:ascii="Times New Roman" w:eastAsia="Times New Roman" w:hAnsi="Times New Roman" w:cs="Times New Roman"/>
          <w:b/>
          <w:bCs/>
          <w:lang w:eastAsia="hu-HU"/>
        </w:rPr>
        <w:tab/>
        <w:t>Szerződéses biztosíték mértéke</w:t>
      </w:r>
    </w:p>
    <w:p w14:paraId="7CBFE63D" w14:textId="77777777" w:rsidR="00E92927" w:rsidRPr="00E92927" w:rsidRDefault="00E92927" w:rsidP="00E92927">
      <w:pPr>
        <w:keepNext/>
        <w:spacing w:before="240" w:after="60"/>
        <w:ind w:left="567" w:hanging="567"/>
        <w:jc w:val="both"/>
        <w:outlineLvl w:val="2"/>
        <w:rPr>
          <w:rFonts w:ascii="Times New Roman" w:eastAsia="Times New Roman" w:hAnsi="Times New Roman" w:cs="Times New Roman"/>
          <w:b/>
          <w:bCs/>
          <w:lang w:eastAsia="hu-HU"/>
        </w:rPr>
      </w:pPr>
      <w:r w:rsidRPr="00E92927">
        <w:rPr>
          <w:rFonts w:ascii="Times New Roman" w:eastAsia="Times New Roman" w:hAnsi="Times New Roman" w:cs="Times New Roman"/>
          <w:b/>
          <w:bCs/>
          <w:lang w:eastAsia="hu-HU"/>
        </w:rPr>
        <w:t xml:space="preserve">4.1 </w:t>
      </w:r>
      <w:r w:rsidRPr="00E92927">
        <w:rPr>
          <w:rFonts w:ascii="Times New Roman" w:eastAsia="Times New Roman" w:hAnsi="Times New Roman" w:cs="Times New Roman"/>
          <w:b/>
          <w:bCs/>
          <w:lang w:eastAsia="hu-HU"/>
        </w:rPr>
        <w:tab/>
        <w:t xml:space="preserve">Egy, vagy több gázévet magába foglaló határozott, vagy határozatlan időtartamú rendszerhasználati szerződés biztosítékául a Rendszerhasználótól az Elosztó által </w:t>
      </w:r>
      <w:proofErr w:type="spellStart"/>
      <w:r w:rsidRPr="00E92927">
        <w:rPr>
          <w:rFonts w:ascii="Times New Roman" w:eastAsia="Times New Roman" w:hAnsi="Times New Roman" w:cs="Times New Roman"/>
          <w:b/>
          <w:bCs/>
          <w:lang w:eastAsia="hu-HU"/>
        </w:rPr>
        <w:t>igényelendő</w:t>
      </w:r>
      <w:proofErr w:type="spellEnd"/>
      <w:r w:rsidRPr="00E92927">
        <w:rPr>
          <w:rFonts w:ascii="Times New Roman" w:eastAsia="Times New Roman" w:hAnsi="Times New Roman" w:cs="Times New Roman"/>
          <w:b/>
          <w:bCs/>
          <w:lang w:eastAsia="hu-HU"/>
        </w:rPr>
        <w:t xml:space="preserve"> szerződéses biztosítékok mértéke </w:t>
      </w:r>
    </w:p>
    <w:p w14:paraId="68F0B103" w14:textId="77777777" w:rsidR="00E92927" w:rsidRPr="00E92927" w:rsidRDefault="00E92927" w:rsidP="00E92927">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Az egyes kockázati csoportok szerint kérni indokolt pénzügyi garanciák mértéke az alábbi:</w:t>
      </w:r>
    </w:p>
    <w:tbl>
      <w:tblPr>
        <w:tblW w:w="9000" w:type="dxa"/>
        <w:jc w:val="center"/>
        <w:tblLook w:val="01E0" w:firstRow="1" w:lastRow="1" w:firstColumn="1" w:lastColumn="1" w:noHBand="0" w:noVBand="0"/>
      </w:tblPr>
      <w:tblGrid>
        <w:gridCol w:w="1417"/>
        <w:gridCol w:w="7583"/>
      </w:tblGrid>
      <w:tr w:rsidR="00E92927" w:rsidRPr="00E92927" w14:paraId="7FC925A7" w14:textId="77777777" w:rsidTr="00C211B7">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4C3ADDB" w14:textId="77777777" w:rsidR="00E92927" w:rsidRPr="00E92927" w:rsidRDefault="00E92927" w:rsidP="00E92927">
            <w:pPr>
              <w:overflowPunct w:val="0"/>
              <w:autoSpaceDE w:val="0"/>
              <w:autoSpaceDN w:val="0"/>
              <w:adjustRightInd w:val="0"/>
              <w:jc w:val="center"/>
              <w:textAlignment w:val="baseline"/>
              <w:rPr>
                <w:rFonts w:ascii="Times New Roman" w:eastAsia="Times New Roman" w:hAnsi="Times New Roman" w:cs="Times New Roman"/>
                <w:b/>
                <w:lang w:eastAsia="hu-HU"/>
              </w:rPr>
            </w:pPr>
            <w:r w:rsidRPr="00E92927">
              <w:rPr>
                <w:rFonts w:ascii="Times New Roman" w:eastAsia="Times New Roman" w:hAnsi="Times New Roman" w:cs="Times New Roman"/>
                <w:b/>
                <w:bCs/>
                <w:color w:val="000000"/>
                <w:lang w:eastAsia="hu-HU"/>
              </w:rPr>
              <w:t>Kockázati csoport</w:t>
            </w:r>
          </w:p>
        </w:tc>
        <w:tc>
          <w:tcPr>
            <w:tcW w:w="0" w:type="auto"/>
            <w:tcBorders>
              <w:top w:val="single" w:sz="4" w:space="0" w:color="auto"/>
              <w:left w:val="nil"/>
              <w:bottom w:val="single" w:sz="4" w:space="0" w:color="auto"/>
              <w:right w:val="single" w:sz="4" w:space="0" w:color="auto"/>
            </w:tcBorders>
            <w:shd w:val="clear" w:color="auto" w:fill="auto"/>
            <w:vAlign w:val="center"/>
          </w:tcPr>
          <w:p w14:paraId="11F1AEBC" w14:textId="77777777" w:rsidR="00E92927" w:rsidRPr="00E92927" w:rsidRDefault="00E92927" w:rsidP="00E92927">
            <w:pPr>
              <w:overflowPunct w:val="0"/>
              <w:autoSpaceDE w:val="0"/>
              <w:autoSpaceDN w:val="0"/>
              <w:adjustRightInd w:val="0"/>
              <w:jc w:val="center"/>
              <w:textAlignment w:val="baseline"/>
              <w:rPr>
                <w:rFonts w:ascii="Times New Roman" w:eastAsia="Times New Roman" w:hAnsi="Times New Roman" w:cs="Times New Roman"/>
                <w:b/>
                <w:lang w:eastAsia="hu-HU"/>
              </w:rPr>
            </w:pPr>
            <w:r w:rsidRPr="00E92927">
              <w:rPr>
                <w:rFonts w:ascii="Times New Roman" w:eastAsia="Times New Roman" w:hAnsi="Times New Roman" w:cs="Times New Roman"/>
                <w:b/>
                <w:bCs/>
                <w:color w:val="000000"/>
                <w:lang w:eastAsia="hu-HU"/>
              </w:rPr>
              <w:footnoteReference w:customMarkFollows="1" w:id="1"/>
              <w:t xml:space="preserve">Fizetési biztosítékok összege </w:t>
            </w:r>
            <w:r w:rsidRPr="00E92927">
              <w:rPr>
                <w:rFonts w:ascii="Times New Roman" w:eastAsia="Times New Roman" w:hAnsi="Times New Roman" w:cs="Times New Roman"/>
                <w:b/>
                <w:bCs/>
                <w:color w:val="000000"/>
                <w:vertAlign w:val="superscript"/>
                <w:lang w:eastAsia="hu-HU"/>
              </w:rPr>
              <w:t>[1,2]</w:t>
            </w:r>
          </w:p>
        </w:tc>
      </w:tr>
      <w:tr w:rsidR="00E92927" w:rsidRPr="00E92927" w14:paraId="63878331" w14:textId="77777777" w:rsidTr="00C211B7">
        <w:trPr>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62B6832F" w14:textId="77777777" w:rsidR="00E92927" w:rsidRPr="00E92927" w:rsidRDefault="00E92927" w:rsidP="00E92927">
            <w:pPr>
              <w:overflowPunct w:val="0"/>
              <w:autoSpaceDE w:val="0"/>
              <w:autoSpaceDN w:val="0"/>
              <w:adjustRightInd w:val="0"/>
              <w:jc w:val="center"/>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A</w:t>
            </w:r>
          </w:p>
        </w:tc>
        <w:tc>
          <w:tcPr>
            <w:tcW w:w="0" w:type="auto"/>
            <w:tcBorders>
              <w:top w:val="nil"/>
              <w:left w:val="nil"/>
              <w:bottom w:val="single" w:sz="4" w:space="0" w:color="auto"/>
              <w:right w:val="single" w:sz="4" w:space="0" w:color="auto"/>
            </w:tcBorders>
            <w:shd w:val="clear" w:color="auto" w:fill="auto"/>
            <w:vAlign w:val="center"/>
          </w:tcPr>
          <w:p w14:paraId="0ED3844F" w14:textId="77777777" w:rsidR="00E92927" w:rsidRPr="00E92927" w:rsidRDefault="00E92927" w:rsidP="00E92927">
            <w:pPr>
              <w:overflowPunct w:val="0"/>
              <w:autoSpaceDE w:val="0"/>
              <w:autoSpaceDN w:val="0"/>
              <w:adjustRightInd w:val="0"/>
              <w:jc w:val="center"/>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Rendszerhasználónak kiszámlázandó egyhavi legmagasabb bruttó összegű rendszerhasználati díj</w:t>
            </w:r>
            <w:r w:rsidRPr="00E92927">
              <w:rPr>
                <w:rFonts w:ascii="Times New Roman" w:eastAsia="Times New Roman" w:hAnsi="Times New Roman" w:cs="Times New Roman"/>
                <w:color w:val="000000"/>
                <w:lang w:eastAsia="hu-HU"/>
              </w:rPr>
              <w:t xml:space="preserve">, amely </w:t>
            </w:r>
            <w:r w:rsidRPr="00E92927">
              <w:rPr>
                <w:rFonts w:ascii="Times New Roman" w:eastAsia="Times New Roman" w:hAnsi="Times New Roman" w:cs="Times New Roman"/>
                <w:lang w:eastAsia="hu-HU"/>
              </w:rPr>
              <w:t xml:space="preserve">összegének 110%-os értékét kell venni, de legalább 10 millió HUF- </w:t>
            </w:r>
            <w:proofErr w:type="spellStart"/>
            <w:r w:rsidRPr="00E92927">
              <w:rPr>
                <w:rFonts w:ascii="Times New Roman" w:eastAsia="Times New Roman" w:hAnsi="Times New Roman" w:cs="Times New Roman"/>
                <w:lang w:eastAsia="hu-HU"/>
              </w:rPr>
              <w:t>ot</w:t>
            </w:r>
            <w:proofErr w:type="spellEnd"/>
          </w:p>
        </w:tc>
      </w:tr>
      <w:tr w:rsidR="00E92927" w:rsidRPr="00E92927" w14:paraId="1A75D811" w14:textId="77777777" w:rsidTr="00C211B7">
        <w:trPr>
          <w:trHeight w:val="488"/>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60C0ED5A" w14:textId="77777777" w:rsidR="00E92927" w:rsidRPr="00E92927" w:rsidRDefault="00E92927" w:rsidP="00E92927">
            <w:pPr>
              <w:overflowPunct w:val="0"/>
              <w:autoSpaceDE w:val="0"/>
              <w:autoSpaceDN w:val="0"/>
              <w:adjustRightInd w:val="0"/>
              <w:jc w:val="center"/>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B</w:t>
            </w:r>
          </w:p>
        </w:tc>
        <w:tc>
          <w:tcPr>
            <w:tcW w:w="0" w:type="auto"/>
            <w:tcBorders>
              <w:top w:val="nil"/>
              <w:left w:val="nil"/>
              <w:bottom w:val="single" w:sz="4" w:space="0" w:color="auto"/>
              <w:right w:val="single" w:sz="4" w:space="0" w:color="auto"/>
            </w:tcBorders>
            <w:shd w:val="clear" w:color="auto" w:fill="auto"/>
            <w:vAlign w:val="center"/>
          </w:tcPr>
          <w:p w14:paraId="645E8DE1" w14:textId="77777777" w:rsidR="00E92927" w:rsidRPr="00E92927" w:rsidRDefault="00E92927" w:rsidP="00E92927">
            <w:pPr>
              <w:overflowPunct w:val="0"/>
              <w:autoSpaceDE w:val="0"/>
              <w:autoSpaceDN w:val="0"/>
              <w:adjustRightInd w:val="0"/>
              <w:jc w:val="center"/>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Rendszerhasználónak kiszámlázandó kéthavi legmagasabb bruttó összegű rendszerhasználati díj</w:t>
            </w:r>
            <w:r w:rsidRPr="00E92927">
              <w:rPr>
                <w:rFonts w:ascii="Times New Roman" w:eastAsia="Times New Roman" w:hAnsi="Times New Roman" w:cs="Times New Roman"/>
                <w:color w:val="000000"/>
                <w:lang w:eastAsia="hu-HU"/>
              </w:rPr>
              <w:t xml:space="preserve">, amely </w:t>
            </w:r>
            <w:r w:rsidRPr="00E92927">
              <w:rPr>
                <w:rFonts w:ascii="Times New Roman" w:eastAsia="Times New Roman" w:hAnsi="Times New Roman" w:cs="Times New Roman"/>
                <w:lang w:eastAsia="hu-HU"/>
              </w:rPr>
              <w:t>összegének 110%-os értékét kell venni, de legalább 20 millió HUF-ot</w:t>
            </w:r>
          </w:p>
        </w:tc>
      </w:tr>
      <w:tr w:rsidR="00E92927" w:rsidRPr="00E92927" w14:paraId="1A6234FE" w14:textId="77777777" w:rsidTr="00C211B7">
        <w:trPr>
          <w:trHeight w:val="538"/>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35EECA29" w14:textId="77777777" w:rsidR="00E92927" w:rsidRPr="00E92927" w:rsidRDefault="00E92927" w:rsidP="00E92927">
            <w:pPr>
              <w:overflowPunct w:val="0"/>
              <w:autoSpaceDE w:val="0"/>
              <w:autoSpaceDN w:val="0"/>
              <w:adjustRightInd w:val="0"/>
              <w:jc w:val="center"/>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C</w:t>
            </w:r>
          </w:p>
        </w:tc>
        <w:tc>
          <w:tcPr>
            <w:tcW w:w="0" w:type="auto"/>
            <w:tcBorders>
              <w:top w:val="nil"/>
              <w:left w:val="nil"/>
              <w:bottom w:val="single" w:sz="4" w:space="0" w:color="auto"/>
              <w:right w:val="single" w:sz="4" w:space="0" w:color="auto"/>
            </w:tcBorders>
            <w:shd w:val="clear" w:color="auto" w:fill="auto"/>
            <w:vAlign w:val="center"/>
          </w:tcPr>
          <w:p w14:paraId="24CE5366" w14:textId="77777777" w:rsidR="00E92927" w:rsidRPr="00E92927" w:rsidRDefault="00E92927" w:rsidP="00E92927">
            <w:pPr>
              <w:overflowPunct w:val="0"/>
              <w:autoSpaceDE w:val="0"/>
              <w:autoSpaceDN w:val="0"/>
              <w:adjustRightInd w:val="0"/>
              <w:jc w:val="center"/>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Rendszerhasználónak kiszámlázandó háromhavi legmagasabb bruttó összegű rendszerhasználati díj</w:t>
            </w:r>
            <w:r w:rsidRPr="00E92927">
              <w:rPr>
                <w:rFonts w:ascii="Times New Roman" w:eastAsia="Times New Roman" w:hAnsi="Times New Roman" w:cs="Times New Roman"/>
                <w:color w:val="000000"/>
                <w:lang w:eastAsia="hu-HU"/>
              </w:rPr>
              <w:t xml:space="preserve">, amely </w:t>
            </w:r>
            <w:r w:rsidRPr="00E92927">
              <w:rPr>
                <w:rFonts w:ascii="Times New Roman" w:eastAsia="Times New Roman" w:hAnsi="Times New Roman" w:cs="Times New Roman"/>
                <w:lang w:eastAsia="hu-HU"/>
              </w:rPr>
              <w:t>összegének 110%-os értékét kell venni, de legalább 30 millió HUF-ot</w:t>
            </w:r>
          </w:p>
        </w:tc>
      </w:tr>
      <w:tr w:rsidR="00E92927" w:rsidRPr="00E92927" w14:paraId="2F672C81" w14:textId="77777777" w:rsidTr="00C211B7">
        <w:trPr>
          <w:trHeight w:val="531"/>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4497ABF2" w14:textId="77777777" w:rsidR="00E92927" w:rsidRPr="00E92927" w:rsidRDefault="00E92927" w:rsidP="00E92927">
            <w:pPr>
              <w:overflowPunct w:val="0"/>
              <w:autoSpaceDE w:val="0"/>
              <w:autoSpaceDN w:val="0"/>
              <w:adjustRightInd w:val="0"/>
              <w:jc w:val="center"/>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D</w:t>
            </w:r>
          </w:p>
        </w:tc>
        <w:tc>
          <w:tcPr>
            <w:tcW w:w="0" w:type="auto"/>
            <w:tcBorders>
              <w:top w:val="nil"/>
              <w:left w:val="nil"/>
              <w:bottom w:val="single" w:sz="4" w:space="0" w:color="auto"/>
              <w:right w:val="single" w:sz="4" w:space="0" w:color="auto"/>
            </w:tcBorders>
            <w:shd w:val="clear" w:color="auto" w:fill="auto"/>
            <w:vAlign w:val="center"/>
          </w:tcPr>
          <w:p w14:paraId="09AC3B2F" w14:textId="77777777" w:rsidR="00E92927" w:rsidRPr="00E92927" w:rsidRDefault="00E92927" w:rsidP="00E92927">
            <w:pPr>
              <w:overflowPunct w:val="0"/>
              <w:autoSpaceDE w:val="0"/>
              <w:autoSpaceDN w:val="0"/>
              <w:adjustRightInd w:val="0"/>
              <w:jc w:val="center"/>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Rendszerhasználónak kiszámlázandó négyhavi legmagasabb bruttó összegű rendszerhasználati díj</w:t>
            </w:r>
            <w:r w:rsidRPr="00E92927">
              <w:rPr>
                <w:rFonts w:ascii="Times New Roman" w:eastAsia="Times New Roman" w:hAnsi="Times New Roman" w:cs="Times New Roman"/>
                <w:color w:val="000000"/>
                <w:lang w:eastAsia="hu-HU"/>
              </w:rPr>
              <w:t xml:space="preserve">, amely </w:t>
            </w:r>
            <w:r w:rsidRPr="00E92927">
              <w:rPr>
                <w:rFonts w:ascii="Times New Roman" w:eastAsia="Times New Roman" w:hAnsi="Times New Roman" w:cs="Times New Roman"/>
                <w:lang w:eastAsia="hu-HU"/>
              </w:rPr>
              <w:t>összegének 110%-os értékét kell venni, de legalább 40 millió HUF-ot</w:t>
            </w:r>
          </w:p>
        </w:tc>
      </w:tr>
      <w:tr w:rsidR="00E92927" w:rsidRPr="00E92927" w14:paraId="57D1E484" w14:textId="77777777" w:rsidTr="00C211B7">
        <w:trPr>
          <w:trHeight w:val="446"/>
          <w:jc w:val="center"/>
        </w:trPr>
        <w:tc>
          <w:tcPr>
            <w:tcW w:w="1417" w:type="dxa"/>
            <w:tcBorders>
              <w:top w:val="nil"/>
              <w:left w:val="single" w:sz="4" w:space="0" w:color="auto"/>
              <w:bottom w:val="single" w:sz="4" w:space="0" w:color="auto"/>
              <w:right w:val="single" w:sz="4" w:space="0" w:color="auto"/>
            </w:tcBorders>
            <w:shd w:val="clear" w:color="auto" w:fill="auto"/>
            <w:vAlign w:val="center"/>
          </w:tcPr>
          <w:p w14:paraId="24230DB5" w14:textId="77777777" w:rsidR="00E92927" w:rsidRPr="00E92927" w:rsidRDefault="00E92927" w:rsidP="00E92927">
            <w:pPr>
              <w:overflowPunct w:val="0"/>
              <w:autoSpaceDE w:val="0"/>
              <w:autoSpaceDN w:val="0"/>
              <w:adjustRightInd w:val="0"/>
              <w:jc w:val="center"/>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E</w:t>
            </w:r>
          </w:p>
        </w:tc>
        <w:tc>
          <w:tcPr>
            <w:tcW w:w="7583" w:type="dxa"/>
            <w:tcBorders>
              <w:top w:val="nil"/>
              <w:left w:val="nil"/>
              <w:bottom w:val="single" w:sz="4" w:space="0" w:color="auto"/>
              <w:right w:val="single" w:sz="4" w:space="0" w:color="auto"/>
            </w:tcBorders>
            <w:shd w:val="clear" w:color="auto" w:fill="auto"/>
            <w:vAlign w:val="center"/>
          </w:tcPr>
          <w:p w14:paraId="6FD19F1C" w14:textId="77777777" w:rsidR="00E92927" w:rsidRPr="00E92927" w:rsidRDefault="00E92927" w:rsidP="00E92927">
            <w:pPr>
              <w:overflowPunct w:val="0"/>
              <w:autoSpaceDE w:val="0"/>
              <w:autoSpaceDN w:val="0"/>
              <w:adjustRightInd w:val="0"/>
              <w:jc w:val="center"/>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Rendszerhasználónak kiszámlázandó hathavi legmagasabb bruttó összegű rendszerhasználati díj</w:t>
            </w:r>
            <w:r w:rsidRPr="00E92927">
              <w:rPr>
                <w:rFonts w:ascii="Times New Roman" w:eastAsia="Times New Roman" w:hAnsi="Times New Roman" w:cs="Times New Roman"/>
                <w:color w:val="000000"/>
                <w:lang w:eastAsia="hu-HU"/>
              </w:rPr>
              <w:t xml:space="preserve">, amely </w:t>
            </w:r>
            <w:r w:rsidRPr="00E92927">
              <w:rPr>
                <w:rFonts w:ascii="Times New Roman" w:eastAsia="Times New Roman" w:hAnsi="Times New Roman" w:cs="Times New Roman"/>
                <w:lang w:eastAsia="hu-HU"/>
              </w:rPr>
              <w:t>összegének 110%-os értékét kell venni, de legalább 50 millió HUF-ot</w:t>
            </w:r>
          </w:p>
        </w:tc>
      </w:tr>
    </w:tbl>
    <w:p w14:paraId="2A3872CC" w14:textId="77777777" w:rsidR="00E92927" w:rsidRPr="00E92927" w:rsidRDefault="00E92927" w:rsidP="00E92927">
      <w:pPr>
        <w:overflowPunct w:val="0"/>
        <w:autoSpaceDE w:val="0"/>
        <w:autoSpaceDN w:val="0"/>
        <w:adjustRightInd w:val="0"/>
        <w:textAlignment w:val="baseline"/>
        <w:rPr>
          <w:rFonts w:ascii="Times New Roman" w:eastAsia="Times New Roman" w:hAnsi="Times New Roman" w:cs="Times New Roman"/>
          <w:i/>
          <w:iCs/>
          <w:sz w:val="18"/>
          <w:szCs w:val="18"/>
          <w:lang w:eastAsia="hu-HU"/>
        </w:rPr>
      </w:pPr>
      <w:r w:rsidRPr="00E92927">
        <w:rPr>
          <w:rFonts w:ascii="Times New Roman" w:eastAsia="Times New Roman" w:hAnsi="Times New Roman" w:cs="Times New Roman"/>
          <w:i/>
          <w:iCs/>
          <w:sz w:val="18"/>
          <w:szCs w:val="18"/>
          <w:vertAlign w:val="superscript"/>
          <w:lang w:eastAsia="hu-HU"/>
        </w:rPr>
        <w:t xml:space="preserve">1 </w:t>
      </w:r>
      <w:r w:rsidRPr="00E92927">
        <w:rPr>
          <w:rFonts w:ascii="Times New Roman" w:eastAsia="Times New Roman" w:hAnsi="Times New Roman" w:cs="Times New Roman"/>
          <w:i/>
          <w:iCs/>
          <w:sz w:val="18"/>
          <w:szCs w:val="18"/>
          <w:lang w:eastAsia="hu-HU"/>
        </w:rPr>
        <w:t>az elmúlt 12 naptári hónap alapján került meghatározásra figyelemmel az esetleges rendszerhasználati díj változásra,</w:t>
      </w:r>
      <w:r w:rsidRPr="00E92927">
        <w:rPr>
          <w:rFonts w:ascii="Times New Roman" w:eastAsia="Times New Roman" w:hAnsi="Times New Roman" w:cs="Times New Roman"/>
          <w:i/>
          <w:iCs/>
          <w:color w:val="FF0000"/>
          <w:sz w:val="18"/>
          <w:szCs w:val="18"/>
          <w:lang w:eastAsia="hu-HU"/>
        </w:rPr>
        <w:t xml:space="preserve"> </w:t>
      </w:r>
      <w:r w:rsidRPr="00E92927">
        <w:rPr>
          <w:rFonts w:ascii="Times New Roman" w:eastAsia="Times New Roman" w:hAnsi="Times New Roman" w:cs="Times New Roman"/>
          <w:i/>
          <w:iCs/>
          <w:sz w:val="18"/>
          <w:szCs w:val="18"/>
          <w:lang w:eastAsia="hu-HU"/>
        </w:rPr>
        <w:t>a +10% a teljes összegre értendő</w:t>
      </w:r>
    </w:p>
    <w:p w14:paraId="5298C397"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i/>
          <w:iCs/>
          <w:sz w:val="18"/>
          <w:szCs w:val="18"/>
          <w:lang w:eastAsia="hu-HU"/>
        </w:rPr>
      </w:pPr>
      <w:r w:rsidRPr="00E92927">
        <w:rPr>
          <w:rFonts w:ascii="Times New Roman" w:eastAsia="Times New Roman" w:hAnsi="Times New Roman" w:cs="Times New Roman"/>
          <w:i/>
          <w:iCs/>
          <w:sz w:val="18"/>
          <w:szCs w:val="18"/>
          <w:lang w:eastAsia="hu-HU"/>
        </w:rPr>
        <w:t xml:space="preserve">2. A Rendszerhasználó jogosult legkésőbb az adott gázévet megelőző szeptember 05. napjáig (az esetleges kereskedőváltásokra figyelemmel) elektronikus úton jelezni a fizetési biztosíték számításának módosítási igényét („Módosítási Igény”) az adott </w:t>
      </w:r>
      <w:proofErr w:type="spellStart"/>
      <w:r w:rsidRPr="00E92927">
        <w:rPr>
          <w:rFonts w:ascii="Times New Roman" w:eastAsia="Times New Roman" w:hAnsi="Times New Roman" w:cs="Times New Roman"/>
          <w:i/>
          <w:iCs/>
          <w:sz w:val="18"/>
          <w:szCs w:val="18"/>
          <w:lang w:eastAsia="hu-HU"/>
        </w:rPr>
        <w:t>gázév</w:t>
      </w:r>
      <w:proofErr w:type="spellEnd"/>
      <w:r w:rsidRPr="00E92927">
        <w:rPr>
          <w:rFonts w:ascii="Times New Roman" w:eastAsia="Times New Roman" w:hAnsi="Times New Roman" w:cs="Times New Roman"/>
          <w:i/>
          <w:iCs/>
          <w:sz w:val="18"/>
          <w:szCs w:val="18"/>
          <w:lang w:eastAsia="hu-HU"/>
        </w:rPr>
        <w:t xml:space="preserve"> ügyfélportfóliójának adataival indokolva (hivatkozva a 7. pontban leírtakra).</w:t>
      </w:r>
    </w:p>
    <w:p w14:paraId="49945CA2"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vertAlign w:val="superscript"/>
          <w:lang w:eastAsia="hu-HU"/>
        </w:rPr>
      </w:pPr>
    </w:p>
    <w:p w14:paraId="5BB29874" w14:textId="77777777" w:rsidR="00E92927" w:rsidRPr="00E92927" w:rsidRDefault="00E92927" w:rsidP="00E92927">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Amennyiben a rendszerhasználó alapdíjas felhasználókat lát el, úgy a fizetési biztosíték összege a Rendszerhasználónak kiszámlázandó éves alapdíj 1/12-ed részének és a felhasználók megelőző gázéves legnagyobb havi fogyasztása után fizetett forgalmi díjának az összege.</w:t>
      </w:r>
    </w:p>
    <w:p w14:paraId="6D8F7FAA" w14:textId="77777777" w:rsidR="00E92927" w:rsidRPr="00E92927" w:rsidRDefault="00E92927" w:rsidP="00E92927">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 xml:space="preserve">Amennyiben a rendszerhasználó legalább a Standard &amp; </w:t>
      </w:r>
      <w:proofErr w:type="spellStart"/>
      <w:r w:rsidRPr="00E92927">
        <w:rPr>
          <w:rFonts w:ascii="Times New Roman" w:eastAsia="Times New Roman" w:hAnsi="Times New Roman" w:cs="Times New Roman"/>
          <w:lang w:eastAsia="hu-HU"/>
        </w:rPr>
        <w:t>Poor’s</w:t>
      </w:r>
      <w:proofErr w:type="spellEnd"/>
      <w:r w:rsidRPr="00E92927">
        <w:rPr>
          <w:rFonts w:ascii="Times New Roman" w:eastAsia="Times New Roman" w:hAnsi="Times New Roman" w:cs="Times New Roman"/>
          <w:lang w:eastAsia="hu-HU"/>
        </w:rPr>
        <w:t xml:space="preserve"> BBB+ vagy legalább a </w:t>
      </w:r>
      <w:proofErr w:type="spellStart"/>
      <w:r w:rsidRPr="00E92927">
        <w:rPr>
          <w:rFonts w:ascii="Times New Roman" w:eastAsia="Times New Roman" w:hAnsi="Times New Roman" w:cs="Times New Roman"/>
          <w:lang w:eastAsia="hu-HU"/>
        </w:rPr>
        <w:t>Moody’s</w:t>
      </w:r>
      <w:proofErr w:type="spellEnd"/>
      <w:r w:rsidRPr="00E92927">
        <w:rPr>
          <w:rFonts w:ascii="Times New Roman" w:eastAsia="Times New Roman" w:hAnsi="Times New Roman" w:cs="Times New Roman"/>
          <w:lang w:eastAsia="hu-HU"/>
        </w:rPr>
        <w:t xml:space="preserve"> Baa1 kockázati hitelminősítési besorolással rendelkezik, és erről cégszerű nyilatkozatot ad, abban az esetben elosztó nem kér szerződéses biztosítékot a rendszerhasználótól.</w:t>
      </w:r>
    </w:p>
    <w:p w14:paraId="3521A1AE" w14:textId="77777777" w:rsidR="00E92927" w:rsidRPr="00E92927" w:rsidRDefault="00E92927" w:rsidP="00E92927">
      <w:pPr>
        <w:keepNext/>
        <w:spacing w:before="240" w:after="60"/>
        <w:ind w:left="567" w:hanging="567"/>
        <w:jc w:val="both"/>
        <w:outlineLvl w:val="2"/>
        <w:rPr>
          <w:rFonts w:ascii="Times New Roman" w:eastAsia="Times New Roman" w:hAnsi="Times New Roman" w:cs="Times New Roman"/>
          <w:b/>
          <w:bCs/>
          <w:lang w:eastAsia="hu-HU"/>
        </w:rPr>
      </w:pPr>
      <w:r w:rsidRPr="00E92927">
        <w:rPr>
          <w:rFonts w:ascii="Times New Roman" w:eastAsia="Times New Roman" w:hAnsi="Times New Roman" w:cs="Times New Roman"/>
          <w:b/>
          <w:bCs/>
          <w:lang w:eastAsia="hu-HU"/>
        </w:rPr>
        <w:t xml:space="preserve">4.2. Kizárólag </w:t>
      </w:r>
      <w:proofErr w:type="spellStart"/>
      <w:r w:rsidRPr="00E92927">
        <w:rPr>
          <w:rFonts w:ascii="Times New Roman" w:eastAsia="Times New Roman" w:hAnsi="Times New Roman" w:cs="Times New Roman"/>
          <w:b/>
          <w:bCs/>
          <w:lang w:eastAsia="hu-HU"/>
        </w:rPr>
        <w:t>gázév</w:t>
      </w:r>
      <w:proofErr w:type="spellEnd"/>
      <w:r w:rsidRPr="00E92927">
        <w:rPr>
          <w:rFonts w:ascii="Times New Roman" w:eastAsia="Times New Roman" w:hAnsi="Times New Roman" w:cs="Times New Roman"/>
          <w:b/>
          <w:bCs/>
          <w:lang w:eastAsia="hu-HU"/>
        </w:rPr>
        <w:t xml:space="preserve"> negyedévére/hónapjára/napjára szóló lekötést biztosító határozott időtartamú rendszerhasználati szerződés biztosítékául az Elosztó által a Rendszerhasználótól </w:t>
      </w:r>
      <w:proofErr w:type="spellStart"/>
      <w:r w:rsidRPr="00E92927">
        <w:rPr>
          <w:rFonts w:ascii="Times New Roman" w:eastAsia="Times New Roman" w:hAnsi="Times New Roman" w:cs="Times New Roman"/>
          <w:b/>
          <w:bCs/>
          <w:lang w:eastAsia="hu-HU"/>
        </w:rPr>
        <w:t>igényelendő</w:t>
      </w:r>
      <w:proofErr w:type="spellEnd"/>
      <w:r w:rsidRPr="00E92927">
        <w:rPr>
          <w:rFonts w:ascii="Times New Roman" w:eastAsia="Times New Roman" w:hAnsi="Times New Roman" w:cs="Times New Roman"/>
          <w:b/>
          <w:bCs/>
          <w:lang w:eastAsia="hu-HU"/>
        </w:rPr>
        <w:t xml:space="preserve"> szerződéses biztosítékok mértéke</w:t>
      </w:r>
    </w:p>
    <w:p w14:paraId="6644730A"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p>
    <w:p w14:paraId="6AFE36E0"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sz w:val="24"/>
          <w:szCs w:val="20"/>
          <w:lang w:eastAsia="hu-HU"/>
        </w:rPr>
      </w:pPr>
      <w:r w:rsidRPr="00E92927">
        <w:rPr>
          <w:rFonts w:ascii="Times New Roman" w:eastAsia="Times New Roman" w:hAnsi="Times New Roman" w:cs="Times New Roman"/>
          <w:lang w:eastAsia="hu-HU"/>
        </w:rPr>
        <w:t>Negyedéves, havi, napi és napon belüli időtartamú Szerződés biztosítékául a Rendszerhasználótól</w:t>
      </w:r>
      <w:r w:rsidRPr="00E92927">
        <w:rPr>
          <w:rFonts w:ascii="Times New Roman" w:eastAsia="Times New Roman" w:hAnsi="Times New Roman" w:cs="Times New Roman"/>
          <w:sz w:val="24"/>
          <w:szCs w:val="20"/>
          <w:lang w:eastAsia="hu-HU"/>
        </w:rPr>
        <w:t xml:space="preserve"> az Elosztó által </w:t>
      </w:r>
      <w:proofErr w:type="spellStart"/>
      <w:r w:rsidRPr="00E92927">
        <w:rPr>
          <w:rFonts w:ascii="Times New Roman" w:eastAsia="Times New Roman" w:hAnsi="Times New Roman" w:cs="Times New Roman"/>
          <w:sz w:val="24"/>
          <w:szCs w:val="20"/>
          <w:lang w:eastAsia="hu-HU"/>
        </w:rPr>
        <w:t>igényelendő</w:t>
      </w:r>
      <w:proofErr w:type="spellEnd"/>
      <w:r w:rsidRPr="00E92927">
        <w:rPr>
          <w:rFonts w:ascii="Times New Roman" w:eastAsia="Times New Roman" w:hAnsi="Times New Roman" w:cs="Times New Roman"/>
          <w:sz w:val="24"/>
          <w:szCs w:val="20"/>
          <w:lang w:eastAsia="hu-HU"/>
        </w:rPr>
        <w:t xml:space="preserve"> szerződéses biztosítékok mértéke:</w:t>
      </w:r>
    </w:p>
    <w:p w14:paraId="358C0CF6" w14:textId="77777777" w:rsidR="00E92927" w:rsidRPr="00E92927" w:rsidRDefault="00E92927" w:rsidP="00E92927">
      <w:pPr>
        <w:numPr>
          <w:ilvl w:val="0"/>
          <w:numId w:val="8"/>
        </w:numPr>
        <w:overflowPunct w:val="0"/>
        <w:autoSpaceDE w:val="0"/>
        <w:autoSpaceDN w:val="0"/>
        <w:adjustRightInd w:val="0"/>
        <w:contextualSpacing/>
        <w:jc w:val="both"/>
        <w:textAlignment w:val="baseline"/>
        <w:rPr>
          <w:rFonts w:ascii="Times New Roman" w:eastAsia="Times New Roman" w:hAnsi="Times New Roman" w:cs="Times New Roman"/>
          <w:sz w:val="24"/>
          <w:szCs w:val="20"/>
          <w:lang w:eastAsia="hu-HU"/>
        </w:rPr>
      </w:pPr>
      <w:r w:rsidRPr="00E92927">
        <w:rPr>
          <w:rFonts w:ascii="Times New Roman" w:eastAsia="Times New Roman" w:hAnsi="Times New Roman" w:cs="Times New Roman"/>
          <w:sz w:val="24"/>
          <w:szCs w:val="20"/>
          <w:lang w:eastAsia="hu-HU"/>
        </w:rPr>
        <w:t>Negyedéves kapacitáslekötés esetén legalább a negyedéves kapacitásdíj 1/3-ad része,</w:t>
      </w:r>
    </w:p>
    <w:p w14:paraId="58DA0E42" w14:textId="77777777" w:rsidR="00E92927" w:rsidRPr="00E92927" w:rsidRDefault="00E92927" w:rsidP="00E92927">
      <w:pPr>
        <w:numPr>
          <w:ilvl w:val="0"/>
          <w:numId w:val="8"/>
        </w:numPr>
        <w:overflowPunct w:val="0"/>
        <w:autoSpaceDE w:val="0"/>
        <w:autoSpaceDN w:val="0"/>
        <w:adjustRightInd w:val="0"/>
        <w:contextualSpacing/>
        <w:jc w:val="both"/>
        <w:textAlignment w:val="baseline"/>
        <w:rPr>
          <w:rFonts w:ascii="Times New Roman" w:eastAsia="Times New Roman" w:hAnsi="Times New Roman" w:cs="Times New Roman"/>
          <w:sz w:val="24"/>
          <w:szCs w:val="20"/>
          <w:lang w:eastAsia="hu-HU"/>
        </w:rPr>
      </w:pPr>
      <w:r w:rsidRPr="00E92927">
        <w:rPr>
          <w:rFonts w:ascii="Times New Roman" w:eastAsia="Times New Roman" w:hAnsi="Times New Roman" w:cs="Times New Roman"/>
          <w:sz w:val="24"/>
          <w:szCs w:val="20"/>
          <w:lang w:eastAsia="hu-HU"/>
        </w:rPr>
        <w:t>Havi, napi és napon belüli kapacitáslekötés esetén legalább a kapacitásdíj teljes összege.</w:t>
      </w:r>
    </w:p>
    <w:p w14:paraId="4061F276" w14:textId="77777777" w:rsidR="00E92927" w:rsidRPr="00E92927" w:rsidRDefault="00E92927" w:rsidP="00E92927">
      <w:pPr>
        <w:overflowPunct w:val="0"/>
        <w:autoSpaceDE w:val="0"/>
        <w:autoSpaceDN w:val="0"/>
        <w:adjustRightInd w:val="0"/>
        <w:ind w:firstLine="708"/>
        <w:textAlignment w:val="baseline"/>
        <w:rPr>
          <w:rFonts w:ascii="Times New Roman" w:eastAsia="Times New Roman" w:hAnsi="Times New Roman" w:cs="Times New Roman"/>
          <w:b/>
          <w:bCs/>
          <w:lang w:eastAsia="hu-HU"/>
        </w:rPr>
      </w:pPr>
    </w:p>
    <w:p w14:paraId="089F75B5" w14:textId="77777777" w:rsidR="00E92927" w:rsidRPr="00E92927" w:rsidRDefault="00E92927" w:rsidP="00E92927">
      <w:pPr>
        <w:keepNext/>
        <w:spacing w:before="240" w:after="60"/>
        <w:ind w:left="567" w:hanging="567"/>
        <w:outlineLvl w:val="2"/>
        <w:rPr>
          <w:rFonts w:ascii="Times New Roman" w:eastAsia="Times New Roman" w:hAnsi="Times New Roman" w:cs="Times New Roman"/>
          <w:b/>
          <w:bCs/>
          <w:lang w:eastAsia="hu-HU"/>
        </w:rPr>
      </w:pPr>
      <w:r w:rsidRPr="00E92927">
        <w:rPr>
          <w:rFonts w:ascii="Times New Roman" w:eastAsia="Times New Roman" w:hAnsi="Times New Roman" w:cs="Times New Roman"/>
          <w:b/>
          <w:bCs/>
          <w:lang w:eastAsia="hu-HU"/>
        </w:rPr>
        <w:lastRenderedPageBreak/>
        <w:t xml:space="preserve">5. </w:t>
      </w:r>
      <w:r w:rsidRPr="00E92927">
        <w:rPr>
          <w:rFonts w:ascii="Times New Roman" w:eastAsia="Times New Roman" w:hAnsi="Times New Roman" w:cs="Times New Roman"/>
          <w:b/>
          <w:bCs/>
          <w:lang w:eastAsia="hu-HU"/>
        </w:rPr>
        <w:tab/>
        <w:t>Biztosítékok bekérése a Rendszerhasználótól</w:t>
      </w:r>
    </w:p>
    <w:p w14:paraId="68735640" w14:textId="77777777" w:rsidR="00E92927" w:rsidRPr="00E92927" w:rsidRDefault="00E92927" w:rsidP="00E92927">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 xml:space="preserve">Az értékelési szempontok alapján az Elosztó meghatározza, és elektronikus úton, e-mail formájában kéri a Rendszerhasználótól a biztosíték nyújtásának visszaigazolását. </w:t>
      </w:r>
    </w:p>
    <w:p w14:paraId="2BC0C99D" w14:textId="77777777" w:rsidR="00E92927" w:rsidRPr="00E92927" w:rsidRDefault="00E92927" w:rsidP="00E92927">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Az értékelési szempontok alapján az Elosztó a legrosszabb eredményű értékelési mutatót veszi figyelembe. Az értékelés alapján, a Rendszerhasználótól igényelhető biztosítékok, melyek a Szerződésben foglalt ügyletek teljesítését biztosítják:</w:t>
      </w:r>
    </w:p>
    <w:p w14:paraId="1E036940"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p>
    <w:p w14:paraId="03E96E3B" w14:textId="77777777" w:rsidR="00E92927" w:rsidRPr="00E92927" w:rsidRDefault="00E92927" w:rsidP="00E92927">
      <w:pPr>
        <w:keepNext/>
        <w:numPr>
          <w:ilvl w:val="1"/>
          <w:numId w:val="6"/>
        </w:numPr>
        <w:overflowPunct w:val="0"/>
        <w:autoSpaceDE w:val="0"/>
        <w:autoSpaceDN w:val="0"/>
        <w:adjustRightInd w:val="0"/>
        <w:spacing w:line="360" w:lineRule="auto"/>
        <w:jc w:val="both"/>
        <w:textAlignment w:val="baseline"/>
        <w:outlineLvl w:val="3"/>
        <w:rPr>
          <w:rFonts w:ascii="Times New Roman" w:eastAsia="Times New Roman" w:hAnsi="Times New Roman" w:cs="Times New Roman"/>
          <w:b/>
          <w:lang w:eastAsia="hu-HU"/>
        </w:rPr>
      </w:pPr>
      <w:r w:rsidRPr="00E92927">
        <w:rPr>
          <w:rFonts w:ascii="Times New Roman" w:eastAsia="Times New Roman" w:hAnsi="Times New Roman" w:cs="Times New Roman"/>
          <w:b/>
          <w:lang w:eastAsia="hu-HU"/>
        </w:rPr>
        <w:t>Szerződéses biztosíték bekérése és bankgarancia nyilatkozat</w:t>
      </w:r>
    </w:p>
    <w:p w14:paraId="2D3686D5" w14:textId="77777777" w:rsidR="00E92927" w:rsidRPr="00E92927" w:rsidRDefault="00E92927" w:rsidP="00E92927">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 xml:space="preserve">Ha az értékelés alapján szerződéses biztosíték kérését el kell indítani (ez történhet többek között, de nem kizárólagosan azért, mert eddig a szerződéses biztosíték bekérésére nem került sor, de azért is, mert az Elosztónak nyújtott szerződéses biztosíték nem elegendő az új értékelési eredmények alapján), az Elosztó e-mail formájában felszólítja a Rendszerhasználót, hogy a szerződéses biztosítékot </w:t>
      </w:r>
      <w:proofErr w:type="spellStart"/>
      <w:r w:rsidRPr="00E92927">
        <w:rPr>
          <w:rFonts w:ascii="Times New Roman" w:eastAsia="Times New Roman" w:hAnsi="Times New Roman" w:cs="Times New Roman"/>
          <w:lang w:eastAsia="hu-HU"/>
        </w:rPr>
        <w:t>bocsássa</w:t>
      </w:r>
      <w:proofErr w:type="spellEnd"/>
      <w:r w:rsidRPr="00E92927">
        <w:rPr>
          <w:rFonts w:ascii="Times New Roman" w:eastAsia="Times New Roman" w:hAnsi="Times New Roman" w:cs="Times New Roman"/>
          <w:lang w:eastAsia="hu-HU"/>
        </w:rPr>
        <w:t xml:space="preserve"> az Elosztó rendelkezésére.</w:t>
      </w:r>
    </w:p>
    <w:p w14:paraId="1FDF521A" w14:textId="77777777" w:rsidR="00E92927" w:rsidRPr="00E92927" w:rsidRDefault="00E92927" w:rsidP="00E92927">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b/>
          <w:lang w:eastAsia="hu-HU"/>
        </w:rPr>
        <w:t xml:space="preserve">Szerződéses biztosítékot </w:t>
      </w:r>
      <w:r w:rsidRPr="00E92927">
        <w:rPr>
          <w:rFonts w:ascii="Times New Roman" w:eastAsia="Times New Roman" w:hAnsi="Times New Roman" w:cs="Times New Roman"/>
          <w:lang w:eastAsia="hu-HU"/>
        </w:rPr>
        <w:t xml:space="preserve">(1. sz. melléklet) magyarországi székhellyel rendelkező banktól, vagy </w:t>
      </w:r>
      <w:r w:rsidRPr="00E92927">
        <w:rPr>
          <w:rFonts w:ascii="Times New Roman" w:eastAsia="Times New Roman" w:hAnsi="Times New Roman" w:cs="Times New Roman"/>
          <w:bCs/>
          <w:lang w:eastAsia="hu-HU"/>
        </w:rPr>
        <w:t>az Európai Unió tagállamában, vagy az Európai Gazdasági Térségről szóló megállapodásban részes más államban letelepedett pénzintézet által nyújtott</w:t>
      </w:r>
      <w:r w:rsidRPr="00E92927">
        <w:rPr>
          <w:rFonts w:ascii="Times New Roman" w:eastAsia="Times New Roman" w:hAnsi="Times New Roman" w:cs="Times New Roman"/>
          <w:lang w:eastAsia="hu-HU"/>
        </w:rPr>
        <w:t xml:space="preserve"> olyan fizetési bankgarancia fogadható el, amelyben a bank egyoldalúan, feltétlenül, visszavonhatatlanul és konkrét összegben meghatározott kötelezettséget vállal arra, hogy az alapjogviszony vizsgálata nélkül az Elosztó írásos igénybejelentésére fizetést teljesít.</w:t>
      </w:r>
    </w:p>
    <w:p w14:paraId="555D762D" w14:textId="77777777" w:rsidR="00E92927" w:rsidRPr="00E92927" w:rsidRDefault="00E92927" w:rsidP="00E92927">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 xml:space="preserve">Elosztó jogosult a jelen utasítás mellékletét képező bankgarancia-minta szerinti formátumú és tartalmú bankgaranciát kérni. Amennyiben a Rendszerhasználó ettől eltérő tartalmú bankgaranciát kíván az Elosztó rendelkezésére bocsátani, annak tartalmát a Rendszerhasználó és az Elosztó egyezteti. </w:t>
      </w:r>
    </w:p>
    <w:p w14:paraId="7D8B882B"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p>
    <w:p w14:paraId="6CF3C212" w14:textId="77777777" w:rsidR="00E92927" w:rsidRPr="00E92927" w:rsidRDefault="00E92927" w:rsidP="00E92927">
      <w:pPr>
        <w:keepNext/>
        <w:numPr>
          <w:ilvl w:val="1"/>
          <w:numId w:val="6"/>
        </w:numPr>
        <w:overflowPunct w:val="0"/>
        <w:autoSpaceDE w:val="0"/>
        <w:autoSpaceDN w:val="0"/>
        <w:adjustRightInd w:val="0"/>
        <w:spacing w:line="360" w:lineRule="auto"/>
        <w:jc w:val="both"/>
        <w:textAlignment w:val="baseline"/>
        <w:outlineLvl w:val="3"/>
        <w:rPr>
          <w:rFonts w:ascii="Times New Roman" w:eastAsia="Times New Roman" w:hAnsi="Times New Roman" w:cs="Times New Roman"/>
          <w:b/>
          <w:lang w:eastAsia="hu-HU"/>
        </w:rPr>
      </w:pPr>
      <w:r w:rsidRPr="00E92927">
        <w:rPr>
          <w:rFonts w:ascii="Times New Roman" w:eastAsia="Times New Roman" w:hAnsi="Times New Roman" w:cs="Times New Roman"/>
          <w:b/>
          <w:lang w:eastAsia="hu-HU"/>
        </w:rPr>
        <w:t>Belföldi székhellyel rendelkező minősített banknál vezetett bankszámlán elhelyezett szerződéses biztosíték</w:t>
      </w:r>
    </w:p>
    <w:p w14:paraId="5E690E78" w14:textId="77777777" w:rsidR="00E92927" w:rsidRPr="00E92927" w:rsidRDefault="00E92927" w:rsidP="00E92927">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 xml:space="preserve">Belföldi székhellyel rendelkező minősített banknál vezetett bankszámlán elhelyezett </w:t>
      </w:r>
      <w:r w:rsidRPr="00E92927">
        <w:rPr>
          <w:rFonts w:ascii="Times New Roman" w:eastAsia="Times New Roman" w:hAnsi="Times New Roman" w:cs="Times New Roman"/>
          <w:b/>
          <w:lang w:eastAsia="hu-HU"/>
        </w:rPr>
        <w:t>szerződéses biztosíték</w:t>
      </w:r>
      <w:r w:rsidRPr="00E92927">
        <w:rPr>
          <w:rFonts w:ascii="Times New Roman" w:eastAsia="Times New Roman" w:hAnsi="Times New Roman" w:cs="Times New Roman"/>
          <w:lang w:eastAsia="hu-HU"/>
        </w:rPr>
        <w:t>: az Elosztó, a szerződést megkötő Rendszerhasználó és a bank közötti háromoldalú letéti szerződéssel jön létre, amelyet a szerződést megkötő Rendszerhasználó a letéti szerződésben meghatározott időpontig kizárólag a Szerződésből származó fizetési kötelezettségeinek biztosítékaként használhatja fel, és amelynek alapján a bank első felhívására az alapjogviszony vizsgálata nélkül és a szerződést megkötő Rendszerhasználó minden további esetleges nyilatkozatára tekintet nélkül, a lehívási értesítő kézhezvételtől számított 3 (három) banki munkanapon belül átutalja a lehívásban foglalt összeget a lehívásban megjelölt bankszámlára.</w:t>
      </w:r>
    </w:p>
    <w:p w14:paraId="7F5CFB04" w14:textId="77777777" w:rsidR="00E92927" w:rsidRPr="00E92927" w:rsidRDefault="00E92927" w:rsidP="00E92927">
      <w:pPr>
        <w:overflowPunct w:val="0"/>
        <w:autoSpaceDE w:val="0"/>
        <w:autoSpaceDN w:val="0"/>
        <w:adjustRightInd w:val="0"/>
        <w:spacing w:before="120"/>
        <w:jc w:val="both"/>
        <w:textAlignment w:val="baseline"/>
        <w:rPr>
          <w:rFonts w:ascii="Times New Roman" w:eastAsia="Times New Roman" w:hAnsi="Times New Roman" w:cs="Times New Roman"/>
          <w:color w:val="FF0000"/>
          <w:lang w:eastAsia="hu-HU"/>
        </w:rPr>
      </w:pPr>
      <w:r w:rsidRPr="00E92927">
        <w:rPr>
          <w:rFonts w:ascii="Times New Roman" w:eastAsia="Times New Roman" w:hAnsi="Times New Roman" w:cs="Times New Roman"/>
          <w:lang w:eastAsia="hu-HU"/>
        </w:rPr>
        <w:t>Ezen szabályok alkalmazásában „belföldi székhellyel rendelkező minősített bank”-</w:t>
      </w:r>
      <w:proofErr w:type="spellStart"/>
      <w:r w:rsidRPr="00E92927">
        <w:rPr>
          <w:rFonts w:ascii="Times New Roman" w:eastAsia="Times New Roman" w:hAnsi="Times New Roman" w:cs="Times New Roman"/>
          <w:lang w:eastAsia="hu-HU"/>
        </w:rPr>
        <w:t>nak</w:t>
      </w:r>
      <w:proofErr w:type="spellEnd"/>
      <w:r w:rsidRPr="00E92927">
        <w:rPr>
          <w:rFonts w:ascii="Times New Roman" w:eastAsia="Times New Roman" w:hAnsi="Times New Roman" w:cs="Times New Roman"/>
          <w:lang w:eastAsia="hu-HU"/>
        </w:rPr>
        <w:t xml:space="preserve"> minősülnek a belföldi székhellyel rendelkező, és a Magyar Bankszövetség 2008. december 31-én, illetve az ezt követően összeállított tagsági listáján szereplő, legalább 50 </w:t>
      </w:r>
      <w:proofErr w:type="spellStart"/>
      <w:r w:rsidRPr="00E92927">
        <w:rPr>
          <w:rFonts w:ascii="Times New Roman" w:eastAsia="Times New Roman" w:hAnsi="Times New Roman" w:cs="Times New Roman"/>
          <w:lang w:eastAsia="hu-HU"/>
        </w:rPr>
        <w:t>mrd</w:t>
      </w:r>
      <w:proofErr w:type="spellEnd"/>
      <w:r w:rsidRPr="00E92927">
        <w:rPr>
          <w:rFonts w:ascii="Times New Roman" w:eastAsia="Times New Roman" w:hAnsi="Times New Roman" w:cs="Times New Roman"/>
          <w:lang w:eastAsia="hu-HU"/>
        </w:rPr>
        <w:t xml:space="preserve"> Ft mérlegfőösszeggel rendelkező pénzintézetek, </w:t>
      </w:r>
    </w:p>
    <w:p w14:paraId="2D16B819" w14:textId="77777777" w:rsidR="00E92927" w:rsidRPr="00E92927" w:rsidRDefault="00E92927" w:rsidP="00E92927">
      <w:pPr>
        <w:overflowPunct w:val="0"/>
        <w:autoSpaceDE w:val="0"/>
        <w:autoSpaceDN w:val="0"/>
        <w:adjustRightInd w:val="0"/>
        <w:spacing w:before="120"/>
        <w:jc w:val="both"/>
        <w:textAlignment w:val="baseline"/>
        <w:rPr>
          <w:rFonts w:ascii="Times New Roman" w:eastAsia="Times New Roman" w:hAnsi="Times New Roman" w:cs="Times New Roman"/>
          <w:color w:val="FF0000"/>
          <w:lang w:eastAsia="hu-HU"/>
        </w:rPr>
      </w:pPr>
    </w:p>
    <w:p w14:paraId="5BA1636F" w14:textId="77777777" w:rsidR="00E92927" w:rsidRPr="00E92927" w:rsidRDefault="00E92927" w:rsidP="00E92927">
      <w:pPr>
        <w:overflowPunct w:val="0"/>
        <w:autoSpaceDE w:val="0"/>
        <w:autoSpaceDN w:val="0"/>
        <w:adjustRightInd w:val="0"/>
        <w:ind w:left="1647" w:hanging="360"/>
        <w:jc w:val="both"/>
        <w:textAlignment w:val="baseline"/>
        <w:rPr>
          <w:rFonts w:ascii="Times New Roman" w:eastAsia="Times New Roman" w:hAnsi="Times New Roman" w:cs="Times New Roman"/>
          <w:i/>
          <w:lang w:eastAsia="hu-HU"/>
        </w:rPr>
      </w:pPr>
    </w:p>
    <w:p w14:paraId="597076AF" w14:textId="77777777" w:rsidR="00E92927" w:rsidRPr="00E92927" w:rsidRDefault="00E92927" w:rsidP="00E92927">
      <w:pPr>
        <w:keepNext/>
        <w:numPr>
          <w:ilvl w:val="1"/>
          <w:numId w:val="6"/>
        </w:numPr>
        <w:overflowPunct w:val="0"/>
        <w:autoSpaceDE w:val="0"/>
        <w:autoSpaceDN w:val="0"/>
        <w:adjustRightInd w:val="0"/>
        <w:spacing w:line="360" w:lineRule="auto"/>
        <w:jc w:val="both"/>
        <w:textAlignment w:val="baseline"/>
        <w:outlineLvl w:val="3"/>
        <w:rPr>
          <w:rFonts w:ascii="Times New Roman" w:eastAsia="Times New Roman" w:hAnsi="Times New Roman" w:cs="Times New Roman"/>
          <w:b/>
          <w:lang w:eastAsia="hu-HU"/>
        </w:rPr>
      </w:pPr>
      <w:r w:rsidRPr="00E92927">
        <w:rPr>
          <w:rFonts w:ascii="Times New Roman" w:eastAsia="Times New Roman" w:hAnsi="Times New Roman" w:cs="Times New Roman"/>
          <w:b/>
          <w:lang w:eastAsia="hu-HU"/>
        </w:rPr>
        <w:t>Egyéb biztosítékok</w:t>
      </w:r>
    </w:p>
    <w:p w14:paraId="4A85FDDA" w14:textId="77777777" w:rsidR="00E92927" w:rsidRPr="00E92927" w:rsidRDefault="00E92927" w:rsidP="00E92927">
      <w:pPr>
        <w:overflowPunct w:val="0"/>
        <w:autoSpaceDE w:val="0"/>
        <w:autoSpaceDN w:val="0"/>
        <w:adjustRightInd w:val="0"/>
        <w:ind w:left="1647"/>
        <w:jc w:val="both"/>
        <w:textAlignment w:val="baseline"/>
        <w:rPr>
          <w:rFonts w:ascii="Times New Roman" w:eastAsia="Times New Roman" w:hAnsi="Times New Roman" w:cs="Times New Roman"/>
          <w:i/>
          <w:lang w:eastAsia="hu-HU"/>
        </w:rPr>
      </w:pPr>
    </w:p>
    <w:p w14:paraId="11686BB7" w14:textId="77777777" w:rsidR="00E92927" w:rsidRPr="00E92927" w:rsidRDefault="00E92927" w:rsidP="00E92927">
      <w:pPr>
        <w:overflowPunct w:val="0"/>
        <w:autoSpaceDE w:val="0"/>
        <w:autoSpaceDN w:val="0"/>
        <w:adjustRightInd w:val="0"/>
        <w:spacing w:after="120"/>
        <w:jc w:val="both"/>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 xml:space="preserve">A Rendszerhasználó által fizetett </w:t>
      </w:r>
      <w:r w:rsidRPr="00E92927">
        <w:rPr>
          <w:rFonts w:ascii="Times New Roman" w:eastAsia="Times New Roman" w:hAnsi="Times New Roman" w:cs="Times New Roman"/>
          <w:b/>
          <w:i/>
          <w:lang w:eastAsia="hu-HU"/>
        </w:rPr>
        <w:t>óvadék</w:t>
      </w:r>
      <w:r w:rsidRPr="00E92927">
        <w:rPr>
          <w:rFonts w:ascii="Times New Roman" w:eastAsia="Times New Roman" w:hAnsi="Times New Roman" w:cs="Times New Roman"/>
          <w:lang w:eastAsia="hu-HU"/>
        </w:rPr>
        <w:t xml:space="preserve">. Az óvadékra vonatkozó kötelezettséget azon a napon lehet teljesítettnek tekinteni, amikor a szerződést megkötő Rendszerhasználó és az Elosztó között az utóbbi </w:t>
      </w:r>
      <w:r w:rsidRPr="00E92927">
        <w:rPr>
          <w:rFonts w:ascii="Times New Roman" w:eastAsia="Times New Roman" w:hAnsi="Times New Roman" w:cs="Times New Roman"/>
          <w:lang w:eastAsia="hu-HU"/>
        </w:rPr>
        <w:lastRenderedPageBreak/>
        <w:t>által előírt óvadéki összegre vonatkozó óvadéki szerződés (2. sz. melléklet) érvényesen és hatályosan létrejött, és az óvadék összegét az óvadéki szerződésben meghatározott bankszámlán jóváírták.</w:t>
      </w:r>
    </w:p>
    <w:p w14:paraId="6DF904F3"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 xml:space="preserve">Elosztó jogosult a jelen utasítás mellékletét képező óvadéki szerződés-minta szerinti formátumú és tartalmú óvadékot kérni. </w:t>
      </w:r>
    </w:p>
    <w:p w14:paraId="053FC455" w14:textId="77777777" w:rsidR="00E92927" w:rsidRPr="00E92927" w:rsidRDefault="00E92927" w:rsidP="00E92927">
      <w:pPr>
        <w:overflowPunct w:val="0"/>
        <w:autoSpaceDE w:val="0"/>
        <w:autoSpaceDN w:val="0"/>
        <w:adjustRightInd w:val="0"/>
        <w:ind w:left="100"/>
        <w:jc w:val="both"/>
        <w:textAlignment w:val="baseline"/>
        <w:rPr>
          <w:rFonts w:ascii="Times New Roman" w:eastAsia="Times New Roman" w:hAnsi="Times New Roman" w:cs="Times New Roman"/>
          <w:lang w:eastAsia="hu-HU"/>
        </w:rPr>
      </w:pPr>
    </w:p>
    <w:p w14:paraId="7A5BB3A3" w14:textId="77777777" w:rsidR="00E92927" w:rsidRPr="00E92927" w:rsidRDefault="00E92927" w:rsidP="00E92927">
      <w:pPr>
        <w:autoSpaceDE w:val="0"/>
        <w:autoSpaceDN w:val="0"/>
        <w:adjustRightInd w:val="0"/>
        <w:jc w:val="both"/>
        <w:rPr>
          <w:rFonts w:ascii="Garamond" w:eastAsia="Calibri" w:hAnsi="Garamond" w:cs="Garamond"/>
          <w:color w:val="000000"/>
        </w:rPr>
      </w:pPr>
      <w:r w:rsidRPr="00E92927">
        <w:rPr>
          <w:rFonts w:ascii="Times New Roman" w:eastAsia="Calibri" w:hAnsi="Times New Roman" w:cs="Times New Roman"/>
          <w:color w:val="000000"/>
        </w:rPr>
        <w:t xml:space="preserve">A rendszerhasználó </w:t>
      </w:r>
      <w:r w:rsidRPr="00E92927">
        <w:rPr>
          <w:rFonts w:ascii="Times New Roman" w:eastAsia="Calibri" w:hAnsi="Times New Roman" w:cs="Times New Roman"/>
          <w:b/>
          <w:i/>
          <w:color w:val="000000"/>
        </w:rPr>
        <w:t>anyavállalata általi készfizető kezességvállalás</w:t>
      </w:r>
      <w:r w:rsidRPr="00E92927">
        <w:rPr>
          <w:rFonts w:ascii="Times New Roman" w:eastAsia="Calibri" w:hAnsi="Times New Roman" w:cs="Times New Roman"/>
          <w:color w:val="000000"/>
        </w:rPr>
        <w:t>, amelynek esetében a Rendszerhasználó anyavállalata közjegyzői okirat szabályszerű aláírásával visszavonhatatlan kötelezettséget vállal arra, hogy a Rendszerhasználó fizetési kötelezettségének késedelme esetén az Elosztó első felhívására annak kézhezvételétől számított 5 napon belül megfizeti a Rendszerhasználó tartozását. Az anyavállalat készfizető kezességvállalására vonatkozó kötelezettséget azon a napon lehet teljesítettnek tekinteni, amikor a Rendszerhasználó az anyavállalata által szabályszerűen aláírt készfizető kezességvállalásra vonatkozó jognyilatkozat egy eredeti példányát az Elosztónak átadta. Az anyavállalati készfizető kezességvállalást az Elosztó kizárólag olyan anyavállalat részéről fogadja el, amely európai székhellyel rendelkezik, az elmúlt 5 gazdasági évében rendelkezett leadott pénzügyi beszámolóval és a 3.3. pont szerint A vagy B kockázati csoportba tartozik.</w:t>
      </w:r>
      <w:r w:rsidRPr="00E92927" w:rsidDel="001D6685">
        <w:rPr>
          <w:rFonts w:ascii="Times New Roman" w:eastAsia="Calibri" w:hAnsi="Times New Roman" w:cs="Times New Roman"/>
          <w:color w:val="FF0000"/>
        </w:rPr>
        <w:t xml:space="preserve"> </w:t>
      </w:r>
    </w:p>
    <w:p w14:paraId="2B076E59" w14:textId="77777777" w:rsidR="00E92927" w:rsidRPr="00E92927" w:rsidRDefault="00E92927" w:rsidP="00E92927">
      <w:pPr>
        <w:autoSpaceDE w:val="0"/>
        <w:autoSpaceDN w:val="0"/>
        <w:adjustRightInd w:val="0"/>
        <w:jc w:val="both"/>
        <w:rPr>
          <w:rFonts w:ascii="Garamond" w:eastAsia="Calibri" w:hAnsi="Garamond" w:cs="Garamond"/>
          <w:color w:val="000000"/>
        </w:rPr>
      </w:pPr>
    </w:p>
    <w:p w14:paraId="5721292B"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 xml:space="preserve">Az Elosztó fenntartja magának a jogot, hogy a felek szerződéses jogviszonyának fennállása alatt indokolt esetben, amennyiben a Rendszerhasználó a fizetési kötelezettségét egymást követő 2 (kettő) számlázási ciklusban vagy 6 hónapon belül 2 alkalommal nem, vagy csak részlegesen teljesíti (számlakifogás esetén a nem vitatott rész teljesítésének elmaradása nemteljesítésnek minősül), vagy a biztosíték nyújtására vonatkozó kötelezettségét a Rendszerhasználó nem teljesíti, azonban a felek a szerződést ettől függetlenül hatályba léptették, vagy hatályát fenntartották, úgy a biztosítéki besorolást megváltoztathatja, vagy azt elvégezheti és a megváltoztatás vagy megállapítás közlésének kézhezvételétől kezdődően a Rendszerhasználó 15 napon belül köteles ennek megfelelően a biztosítékot lecserélni. </w:t>
      </w:r>
    </w:p>
    <w:p w14:paraId="2E35327C"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p>
    <w:p w14:paraId="49DE8D0C" w14:textId="77777777" w:rsidR="00E92927" w:rsidRPr="00E92927" w:rsidRDefault="00E92927" w:rsidP="00E92927">
      <w:pPr>
        <w:numPr>
          <w:ilvl w:val="0"/>
          <w:numId w:val="7"/>
        </w:numPr>
        <w:overflowPunct w:val="0"/>
        <w:autoSpaceDE w:val="0"/>
        <w:autoSpaceDN w:val="0"/>
        <w:adjustRightInd w:val="0"/>
        <w:ind w:left="567" w:hanging="567"/>
        <w:contextualSpacing/>
        <w:textAlignment w:val="baseline"/>
        <w:rPr>
          <w:rFonts w:ascii="Times New Roman" w:eastAsia="Times New Roman" w:hAnsi="Times New Roman" w:cs="Times New Roman"/>
          <w:b/>
          <w:bCs/>
          <w:lang w:eastAsia="hu-HU"/>
        </w:rPr>
      </w:pPr>
      <w:r w:rsidRPr="00E92927">
        <w:rPr>
          <w:rFonts w:ascii="Times New Roman" w:eastAsia="Times New Roman" w:hAnsi="Times New Roman" w:cs="Times New Roman"/>
          <w:b/>
          <w:lang w:eastAsia="hu-HU"/>
        </w:rPr>
        <w:t>A szerződéses biztosíték módosítása, a szerződéses biztosíték rendelkezésre tartási</w:t>
      </w:r>
      <w:r w:rsidRPr="00E92927">
        <w:rPr>
          <w:rFonts w:ascii="Times New Roman" w:eastAsia="Times New Roman" w:hAnsi="Times New Roman" w:cs="Times New Roman"/>
          <w:b/>
          <w:bCs/>
          <w:lang w:eastAsia="hu-HU"/>
        </w:rPr>
        <w:t xml:space="preserve"> időtartama</w:t>
      </w:r>
    </w:p>
    <w:p w14:paraId="79D5E291" w14:textId="77777777" w:rsidR="00E92927" w:rsidRPr="00E92927" w:rsidRDefault="00E92927" w:rsidP="00E92927">
      <w:pPr>
        <w:overflowPunct w:val="0"/>
        <w:autoSpaceDE w:val="0"/>
        <w:autoSpaceDN w:val="0"/>
        <w:adjustRightInd w:val="0"/>
        <w:textAlignment w:val="baseline"/>
        <w:rPr>
          <w:rFonts w:ascii="Times New Roman" w:eastAsia="Times New Roman" w:hAnsi="Times New Roman" w:cs="Times New Roman"/>
          <w:lang w:eastAsia="hu-HU"/>
        </w:rPr>
      </w:pPr>
    </w:p>
    <w:p w14:paraId="1D61D362"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A Szerződést megkötő Rendszerhasználó által nyújtott szerződéses biztosítékot kizárólag az Elosztó előzetes írásbeli hozzájárulásával lehet módosítani, illetve a lejárat előtt megszüntetni.</w:t>
      </w:r>
    </w:p>
    <w:p w14:paraId="4CF71012"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p>
    <w:p w14:paraId="3D306898"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Ha a szerződéses biztosíték módosítását a Rendszerhasználó kereskedőváltásra hivatkozással indítványozza az erre vonatkozó javaslat átvételét követően az Elosztó kockázatelemzést végezhet a jelen utasításban írtak szerint, és a szerződéses biztosíték összegének növelésére hívhatja fel a Rendszerhasználót, vagy a szerződéses biztosíték összegének csökkentéséről dönthet.</w:t>
      </w:r>
    </w:p>
    <w:p w14:paraId="052951D5"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p>
    <w:p w14:paraId="1D351E37"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 xml:space="preserve">Az Elosztó a jelen szabályzatban írtak szerinti módon bármikor elvégezhető kockázatelemzés alapján, a hatályban lévő szerződéses biztosíték megléte esetén is jogosult arra, hogy a hatályos szerződéses biztosíték helyett más szerződéses biztosítékot kérjen, vagy a hatályos szerződéses biztosíték rendelkezéseinek módosítását kérje, melynek a Rendszerhasználó a felhívástól számított 8 (nyolc) munkanapon belül köteles eleget tenni. Ha a szerződést megkötő Rendszerhasználó az erre vonatkozó felhívásnak nem tesz eleget, úgy az Elosztó a </w:t>
      </w:r>
      <w:proofErr w:type="spellStart"/>
      <w:r w:rsidRPr="00E92927">
        <w:rPr>
          <w:rFonts w:ascii="Times New Roman" w:eastAsia="Times New Roman" w:hAnsi="Times New Roman" w:cs="Times New Roman"/>
          <w:lang w:eastAsia="hu-HU"/>
        </w:rPr>
        <w:t>Get</w:t>
      </w:r>
      <w:proofErr w:type="spellEnd"/>
      <w:r w:rsidRPr="00E92927">
        <w:rPr>
          <w:rFonts w:ascii="Times New Roman" w:eastAsia="Times New Roman" w:hAnsi="Times New Roman" w:cs="Times New Roman"/>
          <w:lang w:eastAsia="hu-HU"/>
        </w:rPr>
        <w:t>. Vhr.-ben foglalt szabályok szerint jár el és a felfüggesztésre vonatkozó jogszabályok szerint jogosult a földgáz-elosztóvezetékhez való hozzáférést felfüggeszteni.</w:t>
      </w:r>
    </w:p>
    <w:p w14:paraId="19D4E28C" w14:textId="77777777" w:rsidR="00E92927" w:rsidRPr="00E92927" w:rsidRDefault="00E92927" w:rsidP="00E92927">
      <w:pPr>
        <w:jc w:val="both"/>
        <w:rPr>
          <w:rFonts w:ascii="Times New Roman" w:eastAsia="Times New Roman" w:hAnsi="Times New Roman" w:cs="Times New Roman"/>
          <w:lang w:eastAsia="hu-HU"/>
        </w:rPr>
      </w:pPr>
    </w:p>
    <w:p w14:paraId="1703E20A" w14:textId="77777777" w:rsidR="00E92927" w:rsidRPr="00E92927" w:rsidRDefault="00E92927" w:rsidP="00E92927">
      <w:pPr>
        <w:overflowPunct w:val="0"/>
        <w:autoSpaceDE w:val="0"/>
        <w:autoSpaceDN w:val="0"/>
        <w:adjustRightInd w:val="0"/>
        <w:textAlignment w:val="baseline"/>
        <w:rPr>
          <w:rFonts w:ascii="Times New Roman" w:eastAsia="Times New Roman" w:hAnsi="Times New Roman" w:cs="Times New Roman"/>
          <w:lang w:eastAsia="hu-HU"/>
        </w:rPr>
      </w:pPr>
    </w:p>
    <w:p w14:paraId="0B03508F"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 xml:space="preserve">Egy vagy több gázévet is felölelő határozott, vagy határozatlan idejű rendszerhasználati szerződés esetében a szerződést megkötő Rendszerhasználó által az első </w:t>
      </w:r>
      <w:proofErr w:type="spellStart"/>
      <w:r w:rsidRPr="00E92927">
        <w:rPr>
          <w:rFonts w:ascii="Times New Roman" w:eastAsia="Times New Roman" w:hAnsi="Times New Roman" w:cs="Times New Roman"/>
          <w:lang w:eastAsia="hu-HU"/>
        </w:rPr>
        <w:t>gázév</w:t>
      </w:r>
      <w:proofErr w:type="spellEnd"/>
      <w:r w:rsidRPr="00E92927">
        <w:rPr>
          <w:rFonts w:ascii="Times New Roman" w:eastAsia="Times New Roman" w:hAnsi="Times New Roman" w:cs="Times New Roman"/>
          <w:lang w:eastAsia="hu-HU"/>
        </w:rPr>
        <w:t xml:space="preserve"> vagy - </w:t>
      </w:r>
      <w:proofErr w:type="spellStart"/>
      <w:r w:rsidRPr="00E92927">
        <w:rPr>
          <w:rFonts w:ascii="Times New Roman" w:eastAsia="Times New Roman" w:hAnsi="Times New Roman" w:cs="Times New Roman"/>
          <w:lang w:eastAsia="hu-HU"/>
        </w:rPr>
        <w:t>gázév</w:t>
      </w:r>
      <w:proofErr w:type="spellEnd"/>
      <w:r w:rsidRPr="00E92927">
        <w:rPr>
          <w:rFonts w:ascii="Times New Roman" w:eastAsia="Times New Roman" w:hAnsi="Times New Roman" w:cs="Times New Roman"/>
          <w:lang w:eastAsia="hu-HU"/>
        </w:rPr>
        <w:t xml:space="preserve"> közbeni szerződéskötés esetén - a gázévből hátralévő időszak (továbbiakban egységesen: „</w:t>
      </w:r>
      <w:proofErr w:type="spellStart"/>
      <w:r w:rsidRPr="00E92927">
        <w:rPr>
          <w:rFonts w:ascii="Times New Roman" w:eastAsia="Times New Roman" w:hAnsi="Times New Roman" w:cs="Times New Roman"/>
          <w:lang w:eastAsia="hu-HU"/>
        </w:rPr>
        <w:t>gázév</w:t>
      </w:r>
      <w:proofErr w:type="spellEnd"/>
      <w:r w:rsidRPr="00E92927">
        <w:rPr>
          <w:rFonts w:ascii="Times New Roman" w:eastAsia="Times New Roman" w:hAnsi="Times New Roman" w:cs="Times New Roman"/>
          <w:lang w:eastAsia="hu-HU"/>
        </w:rPr>
        <w:t>”) szerződéses biztosítékául adott szerződéses biztosíték rendelkezésre állásának első napja az adott szerződéses biztosítékra vonatkozó okiratokban meghatározott nap azzal, hogy legkésőbb a szerződés szerinti szolgáltatás megkezdését megelőző 15. munkanapon már rendelkezésre kell állnia az Elosztónál a szerződéses biztosítéknak.</w:t>
      </w:r>
    </w:p>
    <w:p w14:paraId="193636E6"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p>
    <w:p w14:paraId="4FE4CAD4"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 xml:space="preserve">Az egyes gázévekre, mint a szerződéses biztosítékokkal érintett szerződési időszakokra vonatkozó adott szerződéses biztosítékok rendelkezésre állását a tárgyi </w:t>
      </w:r>
      <w:proofErr w:type="spellStart"/>
      <w:r w:rsidRPr="00E92927">
        <w:rPr>
          <w:rFonts w:ascii="Times New Roman" w:eastAsia="Times New Roman" w:hAnsi="Times New Roman" w:cs="Times New Roman"/>
          <w:lang w:eastAsia="hu-HU"/>
        </w:rPr>
        <w:t>gázév</w:t>
      </w:r>
      <w:proofErr w:type="spellEnd"/>
      <w:r w:rsidRPr="00E92927">
        <w:rPr>
          <w:rFonts w:ascii="Times New Roman" w:eastAsia="Times New Roman" w:hAnsi="Times New Roman" w:cs="Times New Roman"/>
          <w:lang w:eastAsia="hu-HU"/>
        </w:rPr>
        <w:t xml:space="preserve"> lejártát követő, illetve ha a rendszerhasználati szerződés </w:t>
      </w:r>
      <w:proofErr w:type="spellStart"/>
      <w:r w:rsidRPr="00E92927">
        <w:rPr>
          <w:rFonts w:ascii="Times New Roman" w:eastAsia="Times New Roman" w:hAnsi="Times New Roman" w:cs="Times New Roman"/>
          <w:lang w:eastAsia="hu-HU"/>
        </w:rPr>
        <w:t>gázév</w:t>
      </w:r>
      <w:proofErr w:type="spellEnd"/>
      <w:r w:rsidRPr="00E92927">
        <w:rPr>
          <w:rFonts w:ascii="Times New Roman" w:eastAsia="Times New Roman" w:hAnsi="Times New Roman" w:cs="Times New Roman"/>
          <w:lang w:eastAsia="hu-HU"/>
        </w:rPr>
        <w:t xml:space="preserve"> lejártát megelőzően szűnik meg, akkor a megszűnés napját követő 90. (kilencvenedik) naptári napig köteles biztosítani a Rendszerhasználó. </w:t>
      </w:r>
    </w:p>
    <w:p w14:paraId="1746067A"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p>
    <w:p w14:paraId="74733987"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 xml:space="preserve">Amennyiben a rendszerhasználati szerződés több gázévet is felölelő határozott, vagy határozatlan időtartamú, melynek keretében a Rendszerhasználó minden egyes gázévre vonatkozóan külön köteles a lekötési igényeit rendezni az Elosztóval, úgy a második gázévtől kezdődően, az egyes gázévekre vonatkozó szerződéses biztosítéknak a jelen utasítás alapján megállapított mértékét és biztosítéki formáját a tárgyi gázévet megelőző 45. napjáig az Elosztó meghatározza, és erről tájékoztatja a Rendszerhasználót. A Rendszerhasználó jogosult legkésőbb az adott gázévet megelőző szeptember 05. napjáig (az esetleges kereskedőváltásokra figyelemmel) elektronikus úton jelezni a fizetési biztosíték számításának módosítási igényét („Módosítási Igény”) az adott </w:t>
      </w:r>
      <w:proofErr w:type="spellStart"/>
      <w:r w:rsidRPr="00E92927">
        <w:rPr>
          <w:rFonts w:ascii="Times New Roman" w:eastAsia="Times New Roman" w:hAnsi="Times New Roman" w:cs="Times New Roman"/>
          <w:lang w:eastAsia="hu-HU"/>
        </w:rPr>
        <w:t>gázév</w:t>
      </w:r>
      <w:proofErr w:type="spellEnd"/>
      <w:r w:rsidRPr="00E92927">
        <w:rPr>
          <w:rFonts w:ascii="Times New Roman" w:eastAsia="Times New Roman" w:hAnsi="Times New Roman" w:cs="Times New Roman"/>
          <w:lang w:eastAsia="hu-HU"/>
        </w:rPr>
        <w:t xml:space="preserve"> ügyfélportfóliójának adataival indokolva. Az Elosztó a Rendszerhasználó Módosítási Igényét megvizsgálja és amennyiben a szerződéses biztosíték összegének módosítása az ügyfél portfolió alapján indokolt, Elosztó a szerződéses biztosíték összegét módosítja. </w:t>
      </w:r>
    </w:p>
    <w:p w14:paraId="0372EDA0"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p>
    <w:p w14:paraId="6B12D715"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 xml:space="preserve">Amennyiben a Rendszerhasználó az Elosztó által meghatározott mértékű és biztosíték formájú tárgyi évet megelőző 45. napjáig kiküldött értesítéssel nem ért egyet, kifogást („Kifogás”) jogosult tenni az értesítés kézhezvételét követő 15 napon belül. A 15 napon túl beérkezett Kifogást az Elosztó nem köteles vizsgálni. A meghatározott, tárgyi évre vonatkozó szerződéses biztosítékot a Rendszerhasználó legkésőbb a tárgyi gázévet megelőző 15. (tizenötödik) munkanapig köteles biztosítani és az Elosztó részére rendelkezésre bocsátani, köteles azt a tárgyi gázévet követő 90. (kilencvenedik) napig folyamatosan biztosítani és fenntartani. </w:t>
      </w:r>
    </w:p>
    <w:p w14:paraId="4CD2372A"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p>
    <w:p w14:paraId="379B2DE2"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 xml:space="preserve">A Rendszerhasználó és az Elosztó között negyedéves/havi/napi/gáznapon belüli rendszerhasználati szerződés van hatályban a szerződéses biztosíték nyújtása óvadék vagy bankgarancia formájában lehetséges. A szerződéses biztosíték összeget legkésőbb a kapacitáslekötési időszakot megelőző 3. (harmadik) munkanapig biztosítania kell a Rendszerhasználónak az Elosztó részére, kivéve a napi és a gáznapon belüli kapacitáslekötés esetét. </w:t>
      </w:r>
    </w:p>
    <w:p w14:paraId="573C18F5"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p>
    <w:p w14:paraId="37965163"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Amennyiben a Rendszerhasználó csak napi, vagy gáznapon belüli rendszerhasználati szerződéssel rendelkezik, úgy szerződéses biztosíték nyújtására kötelezett, melyet legkésőbb az igény benyújtásával egyidejűleg elutalnia, valamint erről az igazolást az Elosztó felé továbbítania szükséges. A gáznapon belüli, a napi, illetve a havi kapacitáslekötések esetében a vonatkozó jogszabálynak megfelelően kerül meghatározásra a biztosíték, havi, napi, gáznapon belüli kapacitás-lekötés esetében a szerződéses biztosíték összegének fedezetet kell nyújtania a 4.2. bekezdésben meghatározott kapacitás díjak összegére, valamint a lekötés alapján számított forgalmi díj összegére a rendszerüzemeltető üzletszabályzatában meghatározott feltételek szerint.</w:t>
      </w:r>
    </w:p>
    <w:p w14:paraId="1CBD0966" w14:textId="77777777" w:rsidR="00E92927" w:rsidRPr="00E92927" w:rsidRDefault="00E92927" w:rsidP="00E92927">
      <w:pPr>
        <w:overflowPunct w:val="0"/>
        <w:autoSpaceDE w:val="0"/>
        <w:autoSpaceDN w:val="0"/>
        <w:adjustRightInd w:val="0"/>
        <w:spacing w:after="20"/>
        <w:jc w:val="both"/>
        <w:textAlignment w:val="baseline"/>
        <w:rPr>
          <w:rFonts w:ascii="Times New Roman" w:eastAsia="Times New Roman" w:hAnsi="Times New Roman" w:cs="Times New Roman"/>
          <w:lang w:eastAsia="hu-HU"/>
        </w:rPr>
      </w:pPr>
    </w:p>
    <w:p w14:paraId="1B1E5E01"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 xml:space="preserve">Elosztó jogosult a szerződéses biztosíték összegének meghatározásakor legmagasabb összegű számlával rendelkező Rendszerhasználó számláit alapul venni, hogy ezáltal a Vhr. 86. § (3) bekezdésének minden körülmények közt megfeleljen. </w:t>
      </w:r>
    </w:p>
    <w:p w14:paraId="77091EEE"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p>
    <w:p w14:paraId="33F4971C"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 xml:space="preserve">A csak gáznapon belüli, csak napi vagy csak havi rendszerhasználati szerződéssel rendelkező Rendszerhasználó részére a szükséges szerződéses biztosíték összegét az Elosztó e-mail-ben kérésre megküldi. </w:t>
      </w:r>
    </w:p>
    <w:p w14:paraId="4955D062"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p>
    <w:p w14:paraId="7C2816D1" w14:textId="77777777" w:rsidR="00E92927" w:rsidRPr="00E92927" w:rsidRDefault="00E92927" w:rsidP="00E92927">
      <w:pPr>
        <w:keepNext/>
        <w:numPr>
          <w:ilvl w:val="0"/>
          <w:numId w:val="7"/>
        </w:numPr>
        <w:overflowPunct w:val="0"/>
        <w:autoSpaceDE w:val="0"/>
        <w:autoSpaceDN w:val="0"/>
        <w:adjustRightInd w:val="0"/>
        <w:spacing w:before="240" w:after="60"/>
        <w:ind w:left="567" w:hanging="567"/>
        <w:textAlignment w:val="baseline"/>
        <w:outlineLvl w:val="2"/>
        <w:rPr>
          <w:rFonts w:ascii="Times New Roman" w:eastAsia="Times New Roman" w:hAnsi="Times New Roman" w:cs="Times New Roman"/>
          <w:b/>
          <w:bCs/>
          <w:lang w:eastAsia="hu-HU"/>
        </w:rPr>
      </w:pPr>
      <w:r w:rsidRPr="00E92927">
        <w:rPr>
          <w:rFonts w:ascii="Times New Roman" w:eastAsia="Times New Roman" w:hAnsi="Times New Roman" w:cs="Times New Roman"/>
          <w:b/>
          <w:bCs/>
          <w:lang w:eastAsia="hu-HU"/>
        </w:rPr>
        <w:t>A szerződéses biztosíték felhasználása</w:t>
      </w:r>
    </w:p>
    <w:p w14:paraId="29003A40" w14:textId="77777777" w:rsidR="00E92927" w:rsidRPr="00E92927" w:rsidRDefault="00E92927" w:rsidP="00E92927">
      <w:pPr>
        <w:overflowPunct w:val="0"/>
        <w:autoSpaceDE w:val="0"/>
        <w:autoSpaceDN w:val="0"/>
        <w:adjustRightInd w:val="0"/>
        <w:textAlignment w:val="baseline"/>
        <w:rPr>
          <w:rFonts w:ascii="Times New Roman" w:eastAsia="Times New Roman" w:hAnsi="Times New Roman" w:cs="Times New Roman"/>
          <w:lang w:eastAsia="hu-HU"/>
        </w:rPr>
      </w:pPr>
    </w:p>
    <w:p w14:paraId="08C77980"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 xml:space="preserve">Az Elosztó a szerződéses biztosítékokat az ezekre vonatkozó okiratok eltérő rendelkezése hiányában akkor jogosult részben vagy teljes egészében felhasználni, ha a szerződést megkötő Rendszerhasználó a szolgáltatás kiszámlázott és esedékessé vált ellenértékét a fizetési határidő leteltét követő első fizetési </w:t>
      </w:r>
      <w:r w:rsidRPr="00E92927">
        <w:rPr>
          <w:rFonts w:ascii="Times New Roman" w:eastAsia="Times New Roman" w:hAnsi="Times New Roman" w:cs="Times New Roman"/>
          <w:lang w:eastAsia="hu-HU"/>
        </w:rPr>
        <w:lastRenderedPageBreak/>
        <w:t>értesítés ellenére, annak kézhezvételétől számított 5 napon belül nem fizeti meg. Az Elosztó a szerződéses biztosítékot a bruttó számlatartozáson felül az esetlegesen felmerülő és a szerződést megkötő Rendszerhasználó által meg nem fizetett késedelmi kamatokra, kötbérekre, díjakra (beleértve a pótdíjat és forgalmi díjakat egyaránt, valamint az egyéb elszámolásokhoz köthető tételeket) és egyéb járulékos költségekre (beleértve a behajtási és végrehajtási költségeket) is lehívhatja.</w:t>
      </w:r>
    </w:p>
    <w:p w14:paraId="678CEB94"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p>
    <w:p w14:paraId="243682EE" w14:textId="77777777" w:rsidR="00E92927" w:rsidRPr="00E92927" w:rsidRDefault="00E92927" w:rsidP="00E92927">
      <w:pPr>
        <w:keepNext/>
        <w:numPr>
          <w:ilvl w:val="0"/>
          <w:numId w:val="7"/>
        </w:numPr>
        <w:overflowPunct w:val="0"/>
        <w:autoSpaceDE w:val="0"/>
        <w:autoSpaceDN w:val="0"/>
        <w:adjustRightInd w:val="0"/>
        <w:spacing w:before="240" w:after="60"/>
        <w:ind w:left="567" w:hanging="567"/>
        <w:textAlignment w:val="baseline"/>
        <w:outlineLvl w:val="2"/>
        <w:rPr>
          <w:rFonts w:ascii="Times New Roman" w:eastAsia="Times New Roman" w:hAnsi="Times New Roman" w:cs="Times New Roman"/>
          <w:b/>
          <w:bCs/>
          <w:lang w:eastAsia="hu-HU"/>
        </w:rPr>
      </w:pPr>
      <w:r w:rsidRPr="00E92927">
        <w:rPr>
          <w:rFonts w:ascii="Times New Roman" w:eastAsia="Times New Roman" w:hAnsi="Times New Roman" w:cs="Times New Roman"/>
          <w:b/>
          <w:bCs/>
          <w:lang w:eastAsia="hu-HU"/>
        </w:rPr>
        <w:t>Feltöltési kötelezettség</w:t>
      </w:r>
    </w:p>
    <w:p w14:paraId="5A49A918" w14:textId="77777777" w:rsidR="00E92927" w:rsidRPr="00E92927" w:rsidRDefault="00E92927" w:rsidP="00E92927">
      <w:pPr>
        <w:overflowPunct w:val="0"/>
        <w:autoSpaceDE w:val="0"/>
        <w:autoSpaceDN w:val="0"/>
        <w:adjustRightInd w:val="0"/>
        <w:textAlignment w:val="baseline"/>
        <w:rPr>
          <w:rFonts w:ascii="Times New Roman" w:eastAsia="Times New Roman" w:hAnsi="Times New Roman" w:cs="Times New Roman"/>
          <w:lang w:eastAsia="hu-HU"/>
        </w:rPr>
      </w:pPr>
    </w:p>
    <w:p w14:paraId="56E8E63E"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Bankgarancia, banki letét és óvadék esetén a szerződést megkötő Rendszerhasználó a szerződéses biztosíték Elosztó általi teljes vagy részleges felhasználását követő 5 munkanapon belül köteles a szerződéses biztosíték összegét a szerződéses biztosítékra vonatkozó okiratban eredetileg meghatározott szintre feltölteni.</w:t>
      </w:r>
    </w:p>
    <w:p w14:paraId="3FD5C146"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p>
    <w:p w14:paraId="066471BA"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r w:rsidRPr="00E92927">
        <w:rPr>
          <w:rFonts w:ascii="Times New Roman" w:eastAsia="Times New Roman" w:hAnsi="Times New Roman" w:cs="Times New Roman"/>
          <w:lang w:eastAsia="hu-HU"/>
        </w:rPr>
        <w:t>Ha a szerződést megkötő Rendszerhasználó a feltöltési kötelezettségét nem teljesíti, az Elosztó a rendszerhasználati szerződés alapján nyújtott szolgáltatás felfüggesztésére történő figyelmeztetéssel írásban felszólítja a kötelezettség teljesítésére.</w:t>
      </w:r>
    </w:p>
    <w:p w14:paraId="566B9122" w14:textId="77777777" w:rsidR="00E92927" w:rsidRPr="00E92927" w:rsidRDefault="00E92927" w:rsidP="00E92927">
      <w:pPr>
        <w:overflowPunct w:val="0"/>
        <w:autoSpaceDE w:val="0"/>
        <w:autoSpaceDN w:val="0"/>
        <w:adjustRightInd w:val="0"/>
        <w:jc w:val="both"/>
        <w:textAlignment w:val="baseline"/>
        <w:rPr>
          <w:rFonts w:ascii="Times New Roman" w:eastAsia="Times New Roman" w:hAnsi="Times New Roman" w:cs="Times New Roman"/>
          <w:lang w:eastAsia="hu-HU"/>
        </w:rPr>
      </w:pPr>
    </w:p>
    <w:p w14:paraId="692CEE7C" w14:textId="77777777" w:rsidR="00984BFC" w:rsidRDefault="00984BFC"/>
    <w:sectPr w:rsidR="00984BF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4FA7A8" w14:textId="77777777" w:rsidR="00A824F2" w:rsidRDefault="00A824F2" w:rsidP="00E92927">
      <w:r>
        <w:separator/>
      </w:r>
    </w:p>
  </w:endnote>
  <w:endnote w:type="continuationSeparator" w:id="0">
    <w:p w14:paraId="6B9D7F56" w14:textId="77777777" w:rsidR="00A824F2" w:rsidRDefault="00A824F2" w:rsidP="00E92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EA52E" w14:textId="77777777" w:rsidR="00A824F2" w:rsidRDefault="00A824F2" w:rsidP="00E92927">
      <w:r>
        <w:separator/>
      </w:r>
    </w:p>
  </w:footnote>
  <w:footnote w:type="continuationSeparator" w:id="0">
    <w:p w14:paraId="1BCBC926" w14:textId="77777777" w:rsidR="00A824F2" w:rsidRDefault="00A824F2" w:rsidP="00E92927">
      <w:r>
        <w:continuationSeparator/>
      </w:r>
    </w:p>
  </w:footnote>
  <w:footnote w:id="1">
    <w:p w14:paraId="77ABB7C4" w14:textId="77777777" w:rsidR="00E92927" w:rsidRDefault="00E92927" w:rsidP="00E929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365E0"/>
    <w:multiLevelType w:val="multilevel"/>
    <w:tmpl w:val="06E494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9F2AA8"/>
    <w:multiLevelType w:val="hybridMultilevel"/>
    <w:tmpl w:val="64F0E0D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27D6D64"/>
    <w:multiLevelType w:val="multilevel"/>
    <w:tmpl w:val="CA74791E"/>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960" w:hanging="600"/>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2C00298E"/>
    <w:multiLevelType w:val="hybridMultilevel"/>
    <w:tmpl w:val="3C2E24D8"/>
    <w:lvl w:ilvl="0" w:tplc="EB42EA82">
      <w:start w:val="6"/>
      <w:numFmt w:val="decimal"/>
      <w:lvlText w:val="%1."/>
      <w:lvlJc w:val="left"/>
      <w:pPr>
        <w:ind w:left="1008" w:hanging="720"/>
      </w:pPr>
      <w:rPr>
        <w:rFonts w:hint="default"/>
      </w:rPr>
    </w:lvl>
    <w:lvl w:ilvl="1" w:tplc="040E0019" w:tentative="1">
      <w:start w:val="1"/>
      <w:numFmt w:val="lowerLetter"/>
      <w:lvlText w:val="%2."/>
      <w:lvlJc w:val="left"/>
      <w:pPr>
        <w:ind w:left="1368" w:hanging="360"/>
      </w:pPr>
    </w:lvl>
    <w:lvl w:ilvl="2" w:tplc="040E001B">
      <w:start w:val="1"/>
      <w:numFmt w:val="lowerRoman"/>
      <w:lvlText w:val="%3."/>
      <w:lvlJc w:val="right"/>
      <w:pPr>
        <w:ind w:left="2088" w:hanging="180"/>
      </w:pPr>
    </w:lvl>
    <w:lvl w:ilvl="3" w:tplc="040E000F" w:tentative="1">
      <w:start w:val="1"/>
      <w:numFmt w:val="decimal"/>
      <w:lvlText w:val="%4."/>
      <w:lvlJc w:val="left"/>
      <w:pPr>
        <w:ind w:left="2808" w:hanging="360"/>
      </w:pPr>
    </w:lvl>
    <w:lvl w:ilvl="4" w:tplc="040E0019" w:tentative="1">
      <w:start w:val="1"/>
      <w:numFmt w:val="lowerLetter"/>
      <w:lvlText w:val="%5."/>
      <w:lvlJc w:val="left"/>
      <w:pPr>
        <w:ind w:left="3528" w:hanging="360"/>
      </w:pPr>
    </w:lvl>
    <w:lvl w:ilvl="5" w:tplc="040E001B" w:tentative="1">
      <w:start w:val="1"/>
      <w:numFmt w:val="lowerRoman"/>
      <w:lvlText w:val="%6."/>
      <w:lvlJc w:val="right"/>
      <w:pPr>
        <w:ind w:left="4248" w:hanging="180"/>
      </w:pPr>
    </w:lvl>
    <w:lvl w:ilvl="6" w:tplc="040E000F" w:tentative="1">
      <w:start w:val="1"/>
      <w:numFmt w:val="decimal"/>
      <w:lvlText w:val="%7."/>
      <w:lvlJc w:val="left"/>
      <w:pPr>
        <w:ind w:left="4968" w:hanging="360"/>
      </w:pPr>
    </w:lvl>
    <w:lvl w:ilvl="7" w:tplc="040E0019" w:tentative="1">
      <w:start w:val="1"/>
      <w:numFmt w:val="lowerLetter"/>
      <w:lvlText w:val="%8."/>
      <w:lvlJc w:val="left"/>
      <w:pPr>
        <w:ind w:left="5688" w:hanging="360"/>
      </w:pPr>
    </w:lvl>
    <w:lvl w:ilvl="8" w:tplc="040E001B" w:tentative="1">
      <w:start w:val="1"/>
      <w:numFmt w:val="lowerRoman"/>
      <w:lvlText w:val="%9."/>
      <w:lvlJc w:val="right"/>
      <w:pPr>
        <w:ind w:left="6408" w:hanging="180"/>
      </w:pPr>
    </w:lvl>
  </w:abstractNum>
  <w:abstractNum w:abstractNumId="4" w15:restartNumberingAfterBreak="0">
    <w:nsid w:val="3C610834"/>
    <w:multiLevelType w:val="hybridMultilevel"/>
    <w:tmpl w:val="C5FC071C"/>
    <w:lvl w:ilvl="0" w:tplc="53183848">
      <w:start w:val="1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695732D"/>
    <w:multiLevelType w:val="hybridMultilevel"/>
    <w:tmpl w:val="983EFC3A"/>
    <w:lvl w:ilvl="0" w:tplc="53183848">
      <w:start w:val="14"/>
      <w:numFmt w:val="bullet"/>
      <w:lvlText w:val="-"/>
      <w:lvlJc w:val="left"/>
      <w:pPr>
        <w:ind w:left="1068" w:hanging="360"/>
      </w:pPr>
      <w:rPr>
        <w:rFonts w:ascii="Times New Roman" w:eastAsia="Times New Roman" w:hAnsi="Times New Roman"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6" w15:restartNumberingAfterBreak="0">
    <w:nsid w:val="52AF425B"/>
    <w:multiLevelType w:val="hybridMultilevel"/>
    <w:tmpl w:val="0F90682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7DF156D0"/>
    <w:multiLevelType w:val="multilevel"/>
    <w:tmpl w:val="525CECC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6"/>
  </w:num>
  <w:num w:numId="3">
    <w:abstractNumId w:val="5"/>
  </w:num>
  <w:num w:numId="4">
    <w:abstractNumId w:val="1"/>
  </w:num>
  <w:num w:numId="5">
    <w:abstractNumId w:val="7"/>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33A"/>
    <w:rsid w:val="0005733A"/>
    <w:rsid w:val="00984BFC"/>
    <w:rsid w:val="00A824F2"/>
    <w:rsid w:val="00AF6257"/>
    <w:rsid w:val="00B91A51"/>
    <w:rsid w:val="00CE2BE7"/>
    <w:rsid w:val="00E9292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EF8FD"/>
  <w15:chartTrackingRefBased/>
  <w15:docId w15:val="{F8B3257E-5D32-43FF-891E-88B955BD7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5733A"/>
    <w:pPr>
      <w:spacing w:after="0" w:line="240" w:lineRule="auto"/>
    </w:pPr>
    <w:rPr>
      <w:rFonts w:ascii="Calibri" w:hAnsi="Calibri" w:cs="Calibri"/>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3006</Words>
  <Characters>20743</Characters>
  <Application>Microsoft Office Word</Application>
  <DocSecurity>0</DocSecurity>
  <Lines>172</Lines>
  <Paragraphs>47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eon</dc:creator>
  <cp:keywords/>
  <dc:description/>
  <cp:lastModifiedBy>eon</cp:lastModifiedBy>
  <cp:revision>3</cp:revision>
  <dcterms:created xsi:type="dcterms:W3CDTF">2021-10-29T08:39:00Z</dcterms:created>
  <dcterms:modified xsi:type="dcterms:W3CDTF">2021-10-29T11:33:00Z</dcterms:modified>
</cp:coreProperties>
</file>